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BC" w:rsidRPr="001A306D" w:rsidRDefault="002572BC" w:rsidP="00665A5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8DB3E2"/>
        <w:spacing w:line="276" w:lineRule="auto"/>
        <w:ind w:firstLine="360"/>
        <w:rPr>
          <w:rFonts w:ascii="Calibri" w:hAnsi="Calibri" w:cs="Calibri"/>
          <w:color w:val="auto"/>
          <w:sz w:val="28"/>
          <w:szCs w:val="28"/>
          <w:lang w:val="el-GR"/>
        </w:rPr>
      </w:pPr>
      <w:r w:rsidRPr="001A306D">
        <w:rPr>
          <w:rFonts w:ascii="Calibri" w:hAnsi="Calibri" w:cs="Calibri"/>
          <w:color w:val="auto"/>
          <w:sz w:val="28"/>
          <w:szCs w:val="28"/>
          <w:shd w:val="clear" w:color="auto" w:fill="8DB3E2"/>
          <w:lang w:val="el-GR"/>
        </w:rPr>
        <w:t>ΠΑΡΑΡΤΗΜΑ</w:t>
      </w:r>
      <w:r w:rsidRPr="001A306D">
        <w:rPr>
          <w:rFonts w:ascii="Calibri" w:hAnsi="Calibri" w:cs="Calibri"/>
          <w:color w:val="auto"/>
          <w:sz w:val="28"/>
          <w:szCs w:val="28"/>
          <w:lang w:val="el-GR"/>
        </w:rPr>
        <w:t xml:space="preserve"> Ι</w:t>
      </w:r>
    </w:p>
    <w:p w:rsidR="002572BC" w:rsidRPr="001A306D" w:rsidRDefault="002572BC" w:rsidP="003F6AB1">
      <w:pPr>
        <w:pStyle w:val="ListParagraph"/>
        <w:spacing w:after="200" w:line="276" w:lineRule="auto"/>
        <w:ind w:left="360"/>
        <w:jc w:val="center"/>
        <w:rPr>
          <w:rFonts w:ascii="Calibri" w:hAnsi="Calibri" w:cs="Calibri"/>
          <w:color w:val="auto"/>
          <w:spacing w:val="4"/>
          <w:sz w:val="8"/>
          <w:szCs w:val="8"/>
          <w:lang w:val="el-GR"/>
        </w:rPr>
      </w:pPr>
    </w:p>
    <w:p w:rsidR="002572BC" w:rsidRPr="001A306D" w:rsidRDefault="002572BC" w:rsidP="003F6AB1">
      <w:pPr>
        <w:pStyle w:val="ListParagraph"/>
        <w:spacing w:after="200" w:line="276" w:lineRule="auto"/>
        <w:ind w:left="360"/>
        <w:jc w:val="center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1A306D">
        <w:rPr>
          <w:rFonts w:ascii="Calibri" w:hAnsi="Calibri" w:cs="Calibri"/>
          <w:color w:val="auto"/>
          <w:spacing w:val="4"/>
          <w:sz w:val="22"/>
          <w:szCs w:val="22"/>
          <w:lang w:val="el-GR"/>
        </w:rPr>
        <w:t>ΑΝΑΛΥΣΗ ΣΤΟΙΧΕΙΩΝ ΕΓΓΕΓΡΑΜΜΕΝΗΣ</w:t>
      </w:r>
      <w:r w:rsidRPr="001A306D">
        <w:rPr>
          <w:rStyle w:val="FootnoteReference"/>
          <w:rFonts w:ascii="Calibri" w:hAnsi="Calibri" w:cs="Calibri"/>
          <w:color w:val="auto"/>
          <w:spacing w:val="4"/>
          <w:sz w:val="22"/>
          <w:szCs w:val="22"/>
        </w:rPr>
        <w:footnoteReference w:id="1"/>
      </w:r>
      <w:r w:rsidRPr="001A306D">
        <w:rPr>
          <w:rFonts w:ascii="Calibri" w:hAnsi="Calibri" w:cs="Calibri"/>
          <w:color w:val="auto"/>
          <w:spacing w:val="4"/>
          <w:sz w:val="22"/>
          <w:szCs w:val="22"/>
          <w:lang w:val="el-GR"/>
        </w:rPr>
        <w:t xml:space="preserve"> ΑΝΕΡΓΙΑΣ ΚΑΙ ΣΤΟΙΧΕΙΩΝ ΑΠΟ ΑΛΛΕΣ ΠΗΓΕΣ</w:t>
      </w:r>
    </w:p>
    <w:p w:rsidR="002572BC" w:rsidRPr="001A306D" w:rsidRDefault="002C2BF7" w:rsidP="00552EE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i/>
          <w:iCs/>
          <w:color w:val="auto"/>
          <w:sz w:val="22"/>
          <w:szCs w:val="22"/>
          <w:lang w:val="el-GR"/>
        </w:rPr>
      </w:pPr>
      <w:r w:rsidRPr="001A306D">
        <w:rPr>
          <w:rFonts w:asciiTheme="minorHAnsi" w:hAnsiTheme="minorHAnsi" w:cs="Arial"/>
          <w:i/>
          <w:iCs/>
          <w:color w:val="auto"/>
          <w:lang w:val="el-GR"/>
        </w:rPr>
        <w:t xml:space="preserve">Σύγκριση μεταξύ </w:t>
      </w:r>
      <w:r w:rsidR="00CE3B60">
        <w:rPr>
          <w:rFonts w:asciiTheme="minorHAnsi" w:hAnsiTheme="minorHAnsi" w:cs="Arial"/>
          <w:i/>
          <w:iCs/>
          <w:color w:val="auto"/>
          <w:lang w:val="el-GR"/>
        </w:rPr>
        <w:t>Οκτωβρίου</w:t>
      </w:r>
      <w:r w:rsidRPr="001A306D">
        <w:rPr>
          <w:rFonts w:asciiTheme="minorHAnsi" w:hAnsiTheme="minorHAnsi" w:cs="Arial"/>
          <w:i/>
          <w:iCs/>
          <w:color w:val="auto"/>
          <w:lang w:val="el-GR"/>
        </w:rPr>
        <w:t xml:space="preserve"> 2014 </w:t>
      </w:r>
      <w:r w:rsidR="00E24F5D" w:rsidRPr="001A306D">
        <w:rPr>
          <w:rFonts w:asciiTheme="minorHAnsi" w:hAnsiTheme="minorHAnsi" w:cs="Arial"/>
          <w:i/>
          <w:iCs/>
          <w:color w:val="auto"/>
          <w:lang w:val="el-GR"/>
        </w:rPr>
        <w:t>με</w:t>
      </w:r>
      <w:r w:rsidRPr="001A306D">
        <w:rPr>
          <w:rFonts w:asciiTheme="minorHAnsi" w:hAnsiTheme="minorHAnsi" w:cs="Arial"/>
          <w:i/>
          <w:iCs/>
          <w:color w:val="auto"/>
          <w:lang w:val="el-GR"/>
        </w:rPr>
        <w:t xml:space="preserve"> 2015</w:t>
      </w:r>
      <w:r w:rsidRPr="001A306D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="002572BC" w:rsidRPr="001A306D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(</w:t>
      </w:r>
      <w:r w:rsidR="002572BC" w:rsidRPr="001A306D">
        <w:rPr>
          <w:rFonts w:ascii="Calibri" w:hAnsi="Calibri" w:cs="Calibri"/>
          <w:i/>
          <w:iCs/>
          <w:color w:val="auto"/>
          <w:sz w:val="22"/>
          <w:szCs w:val="22"/>
          <w:u w:val="single"/>
          <w:lang w:val="el-GR"/>
        </w:rPr>
        <w:t>ετήσια σύγκριση</w:t>
      </w:r>
      <w:r w:rsidR="002572BC" w:rsidRPr="001A306D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)</w:t>
      </w:r>
      <w:r w:rsidR="00D81C11" w:rsidRPr="001A306D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 </w:t>
      </w:r>
      <w:r w:rsidR="002572BC" w:rsidRPr="001A306D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(σχετικοί Πίνακες 1-8) </w:t>
      </w:r>
    </w:p>
    <w:p w:rsidR="002C2BF7" w:rsidRPr="001A306D" w:rsidRDefault="002C2BF7" w:rsidP="002C2BF7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i/>
          <w:iCs/>
          <w:color w:val="auto"/>
          <w:sz w:val="16"/>
          <w:szCs w:val="16"/>
          <w:lang w:val="el-GR"/>
        </w:rPr>
      </w:pPr>
    </w:p>
    <w:p w:rsidR="001F6795" w:rsidRPr="003140B3" w:rsidRDefault="001F6795" w:rsidP="001F679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3140B3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Μείωση του αριθμού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των εγγεγραμμένων ανέργων σε 3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7,016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από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1,334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 τον αντίστοιχο μήνα του 201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ση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10,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</w:t>
      </w:r>
      <w:r w:rsidRPr="006121E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4,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318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άτομα).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Επισημαίνεται ότι τον τελευταίο ενάμισι χρόνο  παρατηρείται μείωση της μηνιαίας εγγεγραμμένης ανεργίας σε σχέση με τους αντίστοιχους μήνες του προηγούμενου έτους. </w:t>
      </w:r>
      <w:bookmarkStart w:id="0" w:name="_GoBack"/>
      <w:bookmarkEnd w:id="0"/>
    </w:p>
    <w:p w:rsidR="001F6795" w:rsidRPr="003140B3" w:rsidRDefault="001F6795" w:rsidP="001F679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3140B3">
        <w:rPr>
          <w:rFonts w:asciiTheme="minorHAnsi" w:hAnsiTheme="minorHAnsi" w:cs="Arial"/>
          <w:color w:val="auto"/>
          <w:sz w:val="22"/>
          <w:szCs w:val="22"/>
          <w:lang w:val="el-GR"/>
        </w:rPr>
        <w:t>φύλο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ο αριθμός των άνεργων αντρών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ανήλθε στα 19,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032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άτομα, ενώ ο αριθμός των ανέργων γυναικών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ανήλθε στα 1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7,984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άτομα. Σε σχέση με τον ίδιο μήνα πέρσι, ο αριθμός των ανέργων αντρών μειώθηκε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2,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243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11%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των γυναικών μειώθηκε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2,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075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1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2572BC" w:rsidRPr="001A306D" w:rsidRDefault="002572BC" w:rsidP="0032714D">
      <w:pPr>
        <w:spacing w:line="276" w:lineRule="auto"/>
        <w:ind w:left="72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1A306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(σύνολο και κατά φύλο) τους τελευταίους 12 μήνες.</w:t>
      </w:r>
    </w:p>
    <w:p w:rsidR="00827B62" w:rsidRPr="001A306D" w:rsidRDefault="00827B62" w:rsidP="0032714D">
      <w:pPr>
        <w:spacing w:line="276" w:lineRule="auto"/>
        <w:ind w:left="72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827B62" w:rsidRPr="001A306D" w:rsidRDefault="001F6795" w:rsidP="0032714D">
      <w:pPr>
        <w:spacing w:line="276" w:lineRule="auto"/>
        <w:ind w:left="72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3DF498EC" wp14:editId="6B9B6BAD">
            <wp:extent cx="5210175" cy="32480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72BC" w:rsidRPr="001A306D" w:rsidRDefault="002572BC" w:rsidP="00D100FF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2"/>
          <w:szCs w:val="12"/>
          <w:lang w:val="el-GR"/>
        </w:rPr>
      </w:pPr>
    </w:p>
    <w:p w:rsidR="002572BC" w:rsidRPr="001A306D" w:rsidRDefault="002572BC" w:rsidP="00332D2F">
      <w:p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4"/>
          <w:szCs w:val="4"/>
          <w:lang w:val="el-GR"/>
        </w:rPr>
      </w:pPr>
    </w:p>
    <w:p w:rsidR="001F6795" w:rsidRPr="003140B3" w:rsidRDefault="001F6795" w:rsidP="001F679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ανεργία σημείωσε μείωση σε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όλες τις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επαρχίες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 Η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μεγαλύτερη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αριθμητική </w:t>
      </w:r>
      <w:r w:rsidRPr="003140B3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>μείωση</w:t>
      </w:r>
      <w:r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στις </w:t>
      </w:r>
      <w:r w:rsidRPr="003140B3">
        <w:rPr>
          <w:rFonts w:asciiTheme="minorHAnsi" w:hAnsiTheme="minorHAnsi" w:cs="Arial"/>
          <w:color w:val="auto"/>
          <w:sz w:val="22"/>
          <w:szCs w:val="22"/>
          <w:lang w:val="el-GR"/>
        </w:rPr>
        <w:t>επαρχί</w:t>
      </w:r>
      <w:r>
        <w:rPr>
          <w:rFonts w:asciiTheme="minorHAnsi" w:hAnsiTheme="minorHAnsi" w:cs="Arial"/>
          <w:color w:val="auto"/>
          <w:sz w:val="22"/>
          <w:szCs w:val="22"/>
          <w:lang w:val="el-GR"/>
        </w:rPr>
        <w:t>ες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Λ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ευκωσίας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(κατά 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1,916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Λεμεσού </w:t>
      </w:r>
      <w:r w:rsidRPr="00294FF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673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Pr="00294FF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ενώ στις επαρχίες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Λάρνακας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Πάφου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και Αμμοχώστου η μείωση ήταν 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948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4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και 3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80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αντίστοιχα.</w:t>
      </w:r>
    </w:p>
    <w:p w:rsidR="00445259" w:rsidRPr="001A306D" w:rsidRDefault="00445259" w:rsidP="00445259">
      <w:pPr>
        <w:ind w:left="360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1A306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lastRenderedPageBreak/>
        <w:t>Στο διάγραμμα που ακολουθεί παρουσιάζεται η διακύμανση του αριθμού των ανέργων κατά επαρχία τους τελευταίους 12 μήνες.</w:t>
      </w:r>
    </w:p>
    <w:p w:rsidR="00445259" w:rsidRPr="001A306D" w:rsidRDefault="00445259" w:rsidP="00445259">
      <w:pPr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</w:p>
    <w:p w:rsidR="00445259" w:rsidRDefault="001F6795" w:rsidP="00445259">
      <w:pPr>
        <w:ind w:left="360"/>
        <w:jc w:val="center"/>
        <w:rPr>
          <w:rFonts w:asciiTheme="minorHAnsi" w:hAnsiTheme="minorHAnsi" w:cs="Arial"/>
          <w:color w:val="auto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112F9962" wp14:editId="6A1C1140">
            <wp:extent cx="5162550" cy="2905125"/>
            <wp:effectExtent l="0" t="0" r="1905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6795" w:rsidRPr="001A306D" w:rsidRDefault="001F6795" w:rsidP="00445259">
      <w:pPr>
        <w:ind w:left="360"/>
        <w:jc w:val="center"/>
        <w:rPr>
          <w:rFonts w:asciiTheme="minorHAnsi" w:hAnsiTheme="minorHAnsi" w:cs="Arial"/>
          <w:color w:val="auto"/>
          <w:sz w:val="22"/>
          <w:szCs w:val="22"/>
          <w:lang w:val="el-GR"/>
        </w:rPr>
      </w:pPr>
    </w:p>
    <w:p w:rsidR="00445259" w:rsidRPr="001A306D" w:rsidRDefault="00445259" w:rsidP="00445259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4"/>
          <w:szCs w:val="4"/>
          <w:lang w:val="el-GR"/>
        </w:rPr>
      </w:pPr>
    </w:p>
    <w:p w:rsidR="00445259" w:rsidRPr="001F6795" w:rsidRDefault="001F6795" w:rsidP="001F679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355157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μειώσεις κατά </w:t>
      </w:r>
      <w:r w:rsidRPr="00355157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355157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355157">
        <w:rPr>
          <w:rFonts w:asciiTheme="minorHAnsi" w:hAnsiTheme="minorHAns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2014 παρουσιάστηκαν στον τομέα των κατασκευών (κατά 1</w:t>
      </w:r>
      <w:r w:rsidRPr="00060B6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103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του εμπορίου (κατά </w:t>
      </w:r>
      <w:r w:rsidRPr="00060B6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680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στον τομέα της μεταποίησης </w:t>
      </w:r>
      <w:r w:rsidRPr="00F83A9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060B6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685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Pr="00F83A9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των τραπεζών </w:t>
      </w:r>
      <w:r w:rsidRPr="00533A8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060B6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533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Pr="00533A8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ν τομέα των άλλων υπηρεσιών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(κατά </w:t>
      </w:r>
      <w:r w:rsidRPr="00060B6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469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στους νεοεισερχόμενους </w:t>
      </w:r>
      <w:r w:rsidRPr="00595A5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060B6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299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Pr="00595A5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μεγαλύτερ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ύξηση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στον τομέα των μεταφορών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149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άτομα).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45259" w:rsidRPr="001F6795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μήνες.</w:t>
      </w:r>
    </w:p>
    <w:p w:rsidR="00445259" w:rsidRPr="001A306D" w:rsidRDefault="001F6795" w:rsidP="00445259">
      <w:pPr>
        <w:pStyle w:val="ListParagraph"/>
        <w:spacing w:after="200" w:line="276" w:lineRule="auto"/>
        <w:jc w:val="center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303EF4F9" wp14:editId="7A48BC89">
            <wp:extent cx="5334000" cy="3228975"/>
            <wp:effectExtent l="0" t="0" r="1905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5259" w:rsidRPr="001A306D" w:rsidRDefault="001F6795" w:rsidP="00445259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4A012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lastRenderedPageBreak/>
        <w:t xml:space="preserve">Όλες οι ηλικιακές ομάδες παρουσίασαν μείωση ανεργίας με εξαίρεση την </w:t>
      </w:r>
      <w:r w:rsidRPr="004A0120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ηλικιακή ομάδα </w:t>
      </w:r>
      <w:r w:rsidRPr="004A012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65 ετών και άνω, η οποία παρουσίασε οριακή αύξηση 31 ατόμων. Οι μεγαλύτερες μειώσεις παρουσιάστηκαν στις ηλικιακές ομάδες 50-59 ετών (μείωση κατά 1,309 άτομα), στην ηλικιακή ομάδα 25-29 ετών (μείωση κατά 939 άτομα), στην ηλικιακή ομάδα 40-49 ετών (μείωση κατά 851 άτομα), και στην ηλικιακή ομάδα 15-24 ετών (μείωση κατά 663 άτομα).</w:t>
      </w:r>
      <w:r w:rsidRPr="004A0120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</w:t>
      </w:r>
      <w:r w:rsidR="00E24F5D" w:rsidRPr="001A306D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</w:t>
      </w:r>
      <w:r w:rsidR="00445259" w:rsidRPr="001A306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ηλικιακή ομάδα τους τελευταίους 12 μήνες.</w:t>
      </w:r>
    </w:p>
    <w:p w:rsidR="00445259" w:rsidRPr="001A306D" w:rsidRDefault="001F6795" w:rsidP="002515A9">
      <w:pPr>
        <w:pStyle w:val="ListParagraph"/>
        <w:spacing w:after="200" w:line="276" w:lineRule="auto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18A5FA09" wp14:editId="3275F8D2">
            <wp:extent cx="5381625" cy="2847975"/>
            <wp:effectExtent l="0" t="0" r="9525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5259" w:rsidRPr="001A306D" w:rsidRDefault="001F6795" w:rsidP="00445259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 w:rsidRPr="004D7D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</w:t>
      </w:r>
      <w:r w:rsidRPr="004D7D80">
        <w:rPr>
          <w:rFonts w:asciiTheme="minorHAnsi" w:hAnsiTheme="minorHAnsi" w:cs="Arial"/>
          <w:color w:val="auto"/>
          <w:sz w:val="22"/>
          <w:szCs w:val="22"/>
          <w:lang w:val="el-GR"/>
        </w:rPr>
        <w:t>περισσότερο από 6 μήνες</w:t>
      </w:r>
      <w:r w:rsidRPr="004D7D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έφτασε στα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18,</w:t>
      </w:r>
      <w:r w:rsidRPr="004A012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528</w:t>
      </w:r>
      <w:r w:rsidRPr="004D7D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(μείωση κατά </w:t>
      </w:r>
      <w:r w:rsidRPr="004A012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834</w:t>
      </w:r>
      <w:r w:rsidRPr="004D7D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ή </w:t>
      </w:r>
      <w:r w:rsidRPr="004A012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4,3</w:t>
      </w:r>
      <w:r w:rsidRPr="004D7D8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 σε σχέση με τον ίδιο μήνα πέρσι) και αντιπροσωπεύει το </w:t>
      </w:r>
      <w:r w:rsidRPr="004A012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50</w:t>
      </w:r>
      <w:r w:rsidRPr="004D7D8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 του συνόλου των εγγεγραμμένων ανέργων. Ο αριθμός των ανέργων που ήταν εγγεγραμμένοι στα γραφεία της ΔΥΑ για </w:t>
      </w:r>
      <w:r w:rsidRPr="004D7D80">
        <w:rPr>
          <w:rFonts w:asciiTheme="minorHAnsi" w:hAnsiTheme="minorHAnsi" w:cs="Arial"/>
          <w:color w:val="auto"/>
          <w:sz w:val="22"/>
          <w:szCs w:val="22"/>
          <w:lang w:val="el-GR"/>
        </w:rPr>
        <w:t>περισσότερο από 12 μήνες</w:t>
      </w:r>
      <w:r w:rsidRPr="004D7D8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έφτασε τα 12,</w:t>
      </w:r>
      <w:r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14</w:t>
      </w:r>
      <w:r w:rsidRPr="004A012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1</w:t>
      </w:r>
      <w:r w:rsidRPr="004D7D8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(αύξηση κατά </w:t>
      </w:r>
      <w:r w:rsidRPr="004A012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142</w:t>
      </w:r>
      <w:r w:rsidRPr="004D7D8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ή </w:t>
      </w:r>
      <w:r w:rsidRPr="004A012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1,2</w:t>
      </w:r>
      <w:r w:rsidRPr="004D7D8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%) και αντιπροσωπεύει το </w:t>
      </w:r>
      <w:r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3</w:t>
      </w:r>
      <w:r w:rsidRPr="004A012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3</w:t>
      </w:r>
      <w:r w:rsidRPr="004D7D8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 του συνόλου των εγγεγραμμένων ανέργων. </w:t>
      </w:r>
      <w:r w:rsidR="00E24F5D" w:rsidRPr="001A306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445259" w:rsidRPr="001A306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διάρκεια εγγραφής τους τελευταίους 12 μήνες.</w:t>
      </w:r>
    </w:p>
    <w:p w:rsidR="00445259" w:rsidRDefault="001F6795" w:rsidP="00E24F5D">
      <w:pPr>
        <w:ind w:left="360"/>
        <w:rPr>
          <w:rFonts w:asciiTheme="minorHAnsi" w:hAnsiTheme="minorHAnsi" w:cs="Arial"/>
          <w:color w:val="auto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56CBC847" wp14:editId="62CF2F85">
            <wp:extent cx="5495925" cy="282892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72BC" w:rsidRPr="00E858BA" w:rsidRDefault="002572BC" w:rsidP="000D4B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858BA">
        <w:rPr>
          <w:rFonts w:ascii="Calibri" w:hAnsi="Calibri" w:cs="Calibri"/>
          <w:color w:val="auto"/>
          <w:sz w:val="22"/>
          <w:szCs w:val="22"/>
          <w:lang w:val="el-GR"/>
        </w:rPr>
        <w:lastRenderedPageBreak/>
        <w:t xml:space="preserve">Μόρφωση: </w:t>
      </w:r>
      <w:r w:rsidRPr="00E858B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Οι μισοί από τους εγγεγραμμένους άνεργους είναι απόφοιτοι δευτεροβάθμιας γενικής ή τεχνικής εκπαίδευσης με ποσοστό </w:t>
      </w:r>
      <w:r w:rsidR="001A5B15" w:rsidRPr="00E858B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50</w:t>
      </w:r>
      <w:r w:rsidRPr="00E858B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ή </w:t>
      </w:r>
      <w:r w:rsidR="005C69D8" w:rsidRPr="00E858B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715FC5" w:rsidRPr="00E858B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8,</w:t>
      </w:r>
      <w:r w:rsidR="001A5B15" w:rsidRPr="00E858B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215</w:t>
      </w:r>
      <w:r w:rsidR="005F787C" w:rsidRPr="00E858B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858B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άτομα, ακολουθούν οι απόφοιτοι τριτοβάθμιας εκπαίδευσης με </w:t>
      </w:r>
      <w:r w:rsidR="004B00B2" w:rsidRPr="00E858B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</w:t>
      </w:r>
      <w:r w:rsidR="001A5B15" w:rsidRPr="00E858B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Pr="00E858B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 ή 1</w:t>
      </w:r>
      <w:r w:rsidR="001A5B15" w:rsidRPr="00E858B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1,192</w:t>
      </w:r>
      <w:r w:rsidRPr="00E858B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 και οι απόφοιτοι πρωτοβάθμιας εκπαίδευσης με </w:t>
      </w:r>
      <w:r w:rsidR="001A5B15" w:rsidRPr="00E858B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20</w:t>
      </w:r>
      <w:r w:rsidRPr="00E858B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ή </w:t>
      </w:r>
      <w:r w:rsidR="004B00B2" w:rsidRPr="00E858B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7,</w:t>
      </w:r>
      <w:r w:rsidR="001A5B15" w:rsidRPr="00E858B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475</w:t>
      </w:r>
      <w:r w:rsidRPr="00E858B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άτομα.</w:t>
      </w:r>
      <w:r w:rsidR="00C56BE7" w:rsidRPr="00E858B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858B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μορφωτικό επίπεδο τους τελευταίους 12 μήνες.</w:t>
      </w:r>
    </w:p>
    <w:p w:rsidR="004B00B2" w:rsidRPr="001A306D" w:rsidRDefault="004B00B2" w:rsidP="004B00B2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4B00B2" w:rsidRPr="001A306D" w:rsidRDefault="00666E4E" w:rsidP="004B00B2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734A0C36" wp14:editId="67CF2191">
            <wp:extent cx="527685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066CD" w:rsidRPr="001A306D" w:rsidRDefault="002066CD" w:rsidP="002066CD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2572BC" w:rsidRPr="001A306D" w:rsidRDefault="002572BC" w:rsidP="00F33992">
      <w:pPr>
        <w:pStyle w:val="ListParagraph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z w:val="4"/>
          <w:szCs w:val="4"/>
          <w:lang w:val="el-GR"/>
        </w:rPr>
      </w:pPr>
    </w:p>
    <w:p w:rsidR="002572BC" w:rsidRPr="00666E4E" w:rsidRDefault="002572BC" w:rsidP="00007B0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666E4E">
        <w:rPr>
          <w:rFonts w:ascii="Calibri" w:hAnsi="Calibri" w:cs="Calibri"/>
          <w:color w:val="auto"/>
          <w:sz w:val="22"/>
          <w:szCs w:val="22"/>
          <w:lang w:val="el-GR"/>
        </w:rPr>
        <w:t>Εθνοτική καταγωγή</w:t>
      </w:r>
      <w:r w:rsidRPr="00666E4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: </w:t>
      </w:r>
      <w:r w:rsidR="00456EB2" w:rsidRPr="00666E4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Από το σύνολο των ανέργων οι 3,957 (11%) ήταν </w:t>
      </w:r>
      <w:r w:rsidR="00456EB2" w:rsidRPr="00666E4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Ευρωπαίοι πολίτες</w:t>
      </w:r>
      <w:r w:rsidR="00456EB2" w:rsidRPr="00666E4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Ο αντίστοιχος αριθμός τον ίδιο μήνα πέρσι ήταν 4,458 ή 12% του συνόλου των ανέργων. Οι </w:t>
      </w:r>
      <w:r w:rsidR="00456EB2" w:rsidRPr="00666E4E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="00456EB2" w:rsidRPr="00666E4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="00456EB2" w:rsidRPr="00666E4E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="00456EB2" w:rsidRPr="00666E4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29,368 άτομα (ποσοστό 79%). Ο αντίστοιχος αριθμός τον ίδιο μήνα πέρσι ήταν 33,336 άτομα (ποσοστό 81%). </w:t>
      </w:r>
      <w:r w:rsidRPr="00666E4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Ελληνοκυπρίων, των Ευρωπαίων ανέργων, των Ποντίων ανέργων και των ανέργων με καθεστώς συμπληρωματικής προστασίας δεύτερου χρόνου τους τελευταίους 12 μήνες.</w:t>
      </w:r>
    </w:p>
    <w:p w:rsidR="00456EB2" w:rsidRPr="00456EB2" w:rsidRDefault="00456EB2" w:rsidP="00666E4E">
      <w:pPr>
        <w:spacing w:after="200" w:line="276" w:lineRule="auto"/>
        <w:jc w:val="right"/>
        <w:rPr>
          <w:rFonts w:asciiTheme="minorHAnsi" w:hAnsiTheme="minorHAnsi" w:cs="Arial"/>
          <w:b w:val="0"/>
          <w:bCs w:val="0"/>
          <w:color w:val="FF0000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073672A2" wp14:editId="64A7BC08">
            <wp:extent cx="5314950" cy="291465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45259" w:rsidRPr="001A306D" w:rsidRDefault="00445259" w:rsidP="00445259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</w:p>
    <w:p w:rsidR="00AA1A61" w:rsidRPr="001A306D" w:rsidRDefault="00AA1A61" w:rsidP="00AA1A61">
      <w:pPr>
        <w:pStyle w:val="ListParagraph"/>
        <w:tabs>
          <w:tab w:val="left" w:pos="3400"/>
        </w:tabs>
        <w:spacing w:after="200" w:line="276" w:lineRule="auto"/>
        <w:ind w:left="360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 w:rsidRPr="001A306D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Σύγκριση μεταξύ </w:t>
      </w:r>
      <w:r w:rsidR="001F6795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Σεπτεμβρίου με Οκτωβρίου </w:t>
      </w:r>
      <w:r w:rsidRPr="001A306D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2015 (</w:t>
      </w:r>
      <w:r w:rsidRPr="001A306D">
        <w:rPr>
          <w:rFonts w:asciiTheme="minorHAnsi" w:hAnsiTheme="minorHAnsi" w:cs="Arial"/>
          <w:i/>
          <w:iCs/>
          <w:color w:val="auto"/>
          <w:sz w:val="22"/>
          <w:szCs w:val="22"/>
          <w:u w:val="single"/>
          <w:lang w:val="el-GR"/>
        </w:rPr>
        <w:t>μηνιαία σύγκριση</w:t>
      </w:r>
      <w:r w:rsidRPr="001A306D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):</w:t>
      </w:r>
    </w:p>
    <w:p w:rsidR="001F6795" w:rsidRPr="00FA5CD7" w:rsidRDefault="001F6795" w:rsidP="001F679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Τον Οκτώβριο του 2015</w:t>
      </w:r>
      <w:r w:rsidRPr="000B0E61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ο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αριθμός των εγγεγραμμένων ανέργων παρουσίασε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μείωση 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1,34</w:t>
      </w:r>
      <w:r w:rsidR="003642BA" w:rsidRPr="003642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 ή 3,5%, σε σύγκριση με τον προηγού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 xml:space="preserve">μενο μήνα. </w:t>
      </w:r>
    </w:p>
    <w:p w:rsidR="001F6795" w:rsidRPr="00FA5CD7" w:rsidRDefault="001F6795" w:rsidP="001F679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ηλικία, οι μεγαλύτερες μειώσεις παρουσιάστηκαν ανάμεσα στις ηλικιακές ομάδες 30-39 χρονών (κατά 520 άτομα), 25-29 χρονών (κατά 421 άτομα) και 15-24 χρονών (κατά 217 άτομα).</w:t>
      </w:r>
    </w:p>
    <w:p w:rsidR="001F6795" w:rsidRPr="00FA5CD7" w:rsidRDefault="001F6795" w:rsidP="001F679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FA5CD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φύλο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ο αριθμός των άνεργων γυναικών μειώθηκε κατά 1,002 άτομα και των αντρών κατά 347 άτομα.</w:t>
      </w:r>
    </w:p>
    <w:p w:rsidR="001F6795" w:rsidRPr="000E2A17" w:rsidRDefault="001F6795" w:rsidP="001F679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0E2A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εθνότητα, η μεγαλύτερη μείωση παρατηρήθηκε ανάμεσα στους Ελληνοκύπριους κατά 1,592 άτομα. </w:t>
      </w:r>
    </w:p>
    <w:p w:rsidR="001F6795" w:rsidRPr="00255EC4" w:rsidRDefault="001F6795" w:rsidP="001F679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255EC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πάνω από 6 μήνες μειώθηκε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256</w:t>
      </w:r>
      <w:r w:rsidRPr="00255EC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άτομα, ενώ ο αριθμός των ανέργων με διάρκεια ανεργίας 6 μέχρι 12 μήνες παρουσίασε μείωση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254</w:t>
      </w:r>
      <w:r w:rsidRPr="00255EC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άτομα. Η μεγαλύτερη μείωση κατά διάρκεια ανεργίας παρατηρήθηκε στα άτομα με διάρκεια ανεργίας 15 μέρες μέχρι 3 μήνες, μείωση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593</w:t>
      </w:r>
      <w:r w:rsidRPr="00255EC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άτομα.</w:t>
      </w:r>
    </w:p>
    <w:p w:rsidR="001F6795" w:rsidRPr="00064F70" w:rsidRDefault="001F6795" w:rsidP="001F679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4B02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τομέα οικονομικής δραστηριότητας</w:t>
      </w:r>
      <w:r w:rsidRPr="004B02EB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,</w:t>
      </w:r>
      <w:r w:rsidRPr="004B02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οι μεγαλύτερες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μειώσεις</w:t>
      </w:r>
      <w:r w:rsidRPr="004B02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παρατηρήθηκαν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της δημόσιας διοίκησης </w:t>
      </w:r>
      <w:r w:rsidRPr="00D6266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618 άτομα</w:t>
      </w:r>
      <w:r w:rsidRPr="00D6266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στον τομέα των υπηρεσιών 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401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στους νεοεισερχομένους 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493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ενώ αύξηση παρατηρήθηκε στον τομέα των ξενοδοχείων </w:t>
      </w:r>
      <w:r w:rsidRPr="0066763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340 άτομα</w:t>
      </w:r>
      <w:r w:rsidRPr="0066763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Pr="004B02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1F6795" w:rsidRPr="005D5741" w:rsidRDefault="001F6795" w:rsidP="001F679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 w:val="0"/>
          <w:i/>
          <w:iCs/>
          <w:color w:val="auto"/>
          <w:sz w:val="22"/>
          <w:szCs w:val="22"/>
          <w:lang w:val="el-GR"/>
        </w:rPr>
      </w:pP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επαρχία,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μεγαλύτερη μείωση 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καταγράφηκε στην επαρχία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Λευκωσίας </w:t>
      </w:r>
      <w:r w:rsidRPr="004769E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1,042 άτομα</w:t>
      </w:r>
      <w:r w:rsidRPr="004769E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ακολουθούμενη από τις επαρχίες Λεμεσού (κατά 338 άτομα) και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Λάρνακας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218 άτομα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Οι επαρχίες 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Αμμοχώστου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Πάφου παρουσίασαν αύξηση κατά 235 και 15 άτομα αντίστοιχα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Pr="008F378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</w:p>
    <w:p w:rsidR="00535818" w:rsidRPr="001A306D" w:rsidRDefault="00535818" w:rsidP="00F50C17">
      <w:pPr>
        <w:spacing w:line="276" w:lineRule="auto"/>
        <w:jc w:val="both"/>
        <w:rPr>
          <w:rFonts w:ascii="Calibri" w:hAnsi="Calibri" w:cs="Calibri"/>
          <w:color w:val="auto"/>
          <w:spacing w:val="4"/>
          <w:sz w:val="22"/>
          <w:szCs w:val="22"/>
          <w:u w:val="single"/>
          <w:lang w:val="el-GR"/>
        </w:rPr>
      </w:pPr>
    </w:p>
    <w:p w:rsidR="00987501" w:rsidRPr="001A306D" w:rsidRDefault="00987501" w:rsidP="00F50C17">
      <w:pPr>
        <w:spacing w:line="276" w:lineRule="auto"/>
        <w:jc w:val="both"/>
        <w:rPr>
          <w:rFonts w:ascii="Calibri" w:hAnsi="Calibri" w:cs="Calibri"/>
          <w:color w:val="auto"/>
          <w:spacing w:val="4"/>
          <w:sz w:val="22"/>
          <w:szCs w:val="22"/>
          <w:u w:val="single"/>
          <w:lang w:val="el-GR"/>
        </w:rPr>
      </w:pPr>
    </w:p>
    <w:p w:rsidR="002572BC" w:rsidRPr="00A85749" w:rsidRDefault="002572BC" w:rsidP="00F50C17">
      <w:pPr>
        <w:spacing w:line="276" w:lineRule="auto"/>
        <w:jc w:val="both"/>
        <w:rPr>
          <w:rFonts w:ascii="Calibri" w:hAnsi="Calibri" w:cs="Calibri"/>
          <w:color w:val="auto"/>
          <w:spacing w:val="4"/>
          <w:sz w:val="22"/>
          <w:szCs w:val="22"/>
          <w:u w:val="single"/>
          <w:lang w:val="el-GR"/>
        </w:rPr>
      </w:pPr>
      <w:r w:rsidRPr="00A85749">
        <w:rPr>
          <w:rFonts w:ascii="Calibri" w:hAnsi="Calibri" w:cs="Calibri"/>
          <w:color w:val="auto"/>
          <w:spacing w:val="4"/>
          <w:sz w:val="22"/>
          <w:szCs w:val="22"/>
          <w:u w:val="single"/>
          <w:lang w:val="el-GR"/>
        </w:rPr>
        <w:t>ΑΝΑΛΥΣΗ ΣΤΟΙΧΕΙΩΝ ΑΠΟ ΑΛΛΕΣ ΠΗΓΕΣ</w:t>
      </w:r>
    </w:p>
    <w:p w:rsidR="002572BC" w:rsidRPr="00A85749" w:rsidRDefault="002572BC" w:rsidP="003F6AB1">
      <w:pPr>
        <w:spacing w:line="276" w:lineRule="auto"/>
        <w:jc w:val="both"/>
        <w:rPr>
          <w:rFonts w:ascii="Calibri" w:hAnsi="Calibri" w:cs="Calibri"/>
          <w:color w:val="auto"/>
          <w:spacing w:val="4"/>
          <w:sz w:val="16"/>
          <w:szCs w:val="16"/>
          <w:u w:val="single"/>
          <w:lang w:val="el-GR"/>
        </w:rPr>
      </w:pPr>
    </w:p>
    <w:p w:rsidR="00F80E44" w:rsidRPr="00A85749" w:rsidRDefault="002572BC" w:rsidP="00E27141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</w:pPr>
      <w:r w:rsidRPr="00A85749">
        <w:rPr>
          <w:rFonts w:ascii="Calibri" w:hAnsi="Calibri" w:cs="Calibri"/>
          <w:color w:val="auto"/>
          <w:sz w:val="22"/>
          <w:szCs w:val="22"/>
          <w:lang w:val="el-GR"/>
        </w:rPr>
        <w:t>Μηνιαία Ανεργία Προσαρμοσμένη στις Εποχικές Διακυμάνσεις</w:t>
      </w:r>
      <w:r w:rsidRPr="00A85749">
        <w:rPr>
          <w:rStyle w:val="FootnoteReference"/>
          <w:rFonts w:ascii="Calibri" w:hAnsi="Calibri" w:cs="Calibri"/>
          <w:color w:val="auto"/>
          <w:spacing w:val="4"/>
          <w:sz w:val="22"/>
          <w:szCs w:val="22"/>
        </w:rPr>
        <w:footnoteReference w:id="2"/>
      </w:r>
      <w:r w:rsidRPr="00A85749">
        <w:rPr>
          <w:rFonts w:ascii="Calibri" w:hAnsi="Calibri" w:cs="Calibri"/>
          <w:color w:val="auto"/>
          <w:sz w:val="22"/>
          <w:szCs w:val="22"/>
          <w:lang w:val="el-GR"/>
        </w:rPr>
        <w:t xml:space="preserve"> - </w:t>
      </w:r>
      <w:r w:rsidRPr="00A85749">
        <w:rPr>
          <w:rFonts w:ascii="Calibri" w:hAnsi="Calibri" w:cs="Calibri"/>
          <w:color w:val="auto"/>
          <w:sz w:val="22"/>
          <w:szCs w:val="22"/>
          <w:lang w:val="en-GB"/>
        </w:rPr>
        <w:t>EUROSTAT</w:t>
      </w:r>
      <w:r w:rsidRPr="00A8574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(βλέπε πίν</w:t>
      </w:r>
      <w:r w:rsidR="004133BA" w:rsidRPr="00A8574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  <w:r w:rsidRPr="00A8574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10)</w:t>
      </w:r>
    </w:p>
    <w:p w:rsidR="004133BA" w:rsidRPr="00A85749" w:rsidRDefault="004133BA" w:rsidP="00E27141">
      <w:pPr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</w:p>
    <w:p w:rsidR="002572BC" w:rsidRPr="00A85749" w:rsidRDefault="002572BC" w:rsidP="00E27141">
      <w:pPr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Με βάση τα μηνιαία στοιχεία τα οποία είναι προσαρμοσμένα σε εποχικές διακυμάνσεις και υπολογίζονται από την Ευρωπαϊκή Στατιστική Υπηρεσία (</w:t>
      </w:r>
      <w:r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EUROSTAT</w:t>
      </w:r>
      <w:r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), η οποία λαμβάνει επίσης υπόψη τα στοιχεία της ΔΥΑ για την εγγεγραμμένη ανεργία και τα αποτελέσματα της Έρευνας Εργατικού Δυναμικού (ΕΕΔ) της Στατιστικής Υπηρεσίας Κύπρου, εξάγονται τα ακόλουθα: </w:t>
      </w:r>
    </w:p>
    <w:p w:rsidR="00987501" w:rsidRPr="001F6795" w:rsidRDefault="00987501" w:rsidP="00987501">
      <w:pPr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FF0000"/>
          <w:spacing w:val="4"/>
          <w:sz w:val="22"/>
          <w:szCs w:val="22"/>
          <w:lang w:val="el-GR"/>
        </w:rPr>
      </w:pPr>
    </w:p>
    <w:p w:rsidR="00EE5BCA" w:rsidRPr="00733037" w:rsidRDefault="00EE5BCA" w:rsidP="00EE5BCA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lastRenderedPageBreak/>
        <w:t xml:space="preserve">Με βάση τα τελευταία διαθέσιμα στοιχεία της Ευρωπαϊκής Στατιστικής Υπηρεσίας, 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Eurostat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τα οποία είναι προκαταρκτικά και αποτελούν πρόβλεψη, κατά το μήνα Σεπτέμβριο 2015 η ανεργία ανήλθε στο 15,1% και μειώθηκε 1,2 ποσοστιαίες μονάδες σε σχέση με τον ίδιο μήνα πέρσι (16,3%). Σε σύγκριση με τον προηγούμενο μήνα, Αύγουστο 2015, το ποσοστό μειώθηκε οριακά κατά 0,1 </w:t>
      </w:r>
      <w:r w:rsidR="003642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ποσοστιαίες μονάδες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</w:p>
    <w:p w:rsidR="00EE5BCA" w:rsidRPr="00733037" w:rsidRDefault="00EE5BCA" w:rsidP="00EE5BCA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</w:p>
    <w:p w:rsidR="00EE5BCA" w:rsidRPr="00733037" w:rsidRDefault="00EE5BCA" w:rsidP="00EE5BCA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ανεργία των νέων κάτω των 25 ετών παρέμεινε σταθερή στο 32,6% τους τελευταίους τρεις μήνες (Ιούλιο μέχρι Σεπτέμβριο 2015), ενώ 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u w:val="single"/>
          <w:lang w:val="el-GR"/>
        </w:rPr>
        <w:t>μειώθηκε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2,5 ποσοστιαίες μονάδες σε σχέση με τον Σεπτέμβριο του 2014 (35,1%). </w:t>
      </w:r>
    </w:p>
    <w:p w:rsidR="00EE5BCA" w:rsidRPr="00733037" w:rsidRDefault="00EE5BCA" w:rsidP="00EE5BCA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</w:p>
    <w:p w:rsidR="00EE5BCA" w:rsidRDefault="00EE5BCA" w:rsidP="00EE5BCA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Τον Σεπτέμβριο του 2015 ο μέσος όρος ανεργίας στην Ευρωζώνη ανήλθε στο 10,8%, καταγράφοντας το χαμηλότερο ποσοστό ανεργίας από τον Ιανουάριο του 2012, ενώ ο μέσος όρος στην Ευρώπη ανήλθε στο 9,3%.  </w:t>
      </w:r>
    </w:p>
    <w:p w:rsidR="00EE5BCA" w:rsidRPr="00EE5BCA" w:rsidRDefault="00EE5BCA" w:rsidP="00EE5BCA">
      <w:pPr>
        <w:pStyle w:val="ListParagrap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EE5BCA" w:rsidRPr="00EE5BCA" w:rsidRDefault="00EE5BCA" w:rsidP="00EE5BCA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EE5B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Το ποσοστό ανεργίας των</w:t>
      </w:r>
      <w:r w:rsidRPr="00EE5BCA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  <w:t xml:space="preserve"> ανδρών</w:t>
      </w:r>
      <w:r w:rsidRPr="00EE5B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τον μήνα Σεπτέμβριο 2015 υπολογίζεται στο 15,0% σημειώνοντας μείωση 2,4 ποσοστιαίων μονάδων σε σχέση με τον αντίστοιχο μήνα πέρσι. Σε σχέση με τον προηγούμενο μήνα, Αύγουστο 2015, το ποσοστό παρουσίασε οριακή μείωση 0,1 </w:t>
      </w:r>
      <w:r w:rsidR="003642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ποσοστιαίες μονάδες</w:t>
      </w:r>
      <w:r w:rsidRPr="00EE5B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</w:p>
    <w:p w:rsidR="00EE5BCA" w:rsidRPr="00EE5BCA" w:rsidRDefault="00EE5BCA" w:rsidP="00EE5BCA">
      <w:pPr>
        <w:pStyle w:val="ListParagrap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EE5BCA" w:rsidRPr="00EE5BCA" w:rsidRDefault="00EE5BCA" w:rsidP="00EE5BCA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EE5B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Το ποσοστό ανεργίας των</w:t>
      </w:r>
      <w:r w:rsidRPr="00EE5BCA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  <w:t xml:space="preserve"> γυναικών</w:t>
      </w:r>
      <w:r w:rsidRPr="00EE5B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το μήνα Σεπτέμβριο 2015 υπολογίζεται στο 15,1%, σημειώνοντας  οριακή μείωση 0,1 ποσοστιαίας μονάδας σε σχέση με τον αντίστοιχο μήνα πέρσι. Σε σχέση με τον προηγούμενο μήνα, Αύγουστο 2015, το ποσοστό παρουσίασε οριακή μείωση 0,1 </w:t>
      </w:r>
      <w:r w:rsidR="003642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ποσοστιαίες μονάδες</w:t>
      </w:r>
      <w:r w:rsidRPr="00EE5B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</w:t>
      </w:r>
    </w:p>
    <w:p w:rsidR="00E27141" w:rsidRPr="001F6795" w:rsidRDefault="00E27141" w:rsidP="00E27141">
      <w:pPr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FF0000"/>
          <w:spacing w:val="4"/>
          <w:sz w:val="22"/>
          <w:szCs w:val="22"/>
          <w:lang w:val="el-GR"/>
        </w:rPr>
      </w:pPr>
    </w:p>
    <w:p w:rsidR="002572BC" w:rsidRPr="001F6795" w:rsidRDefault="002572BC" w:rsidP="00E27141">
      <w:pPr>
        <w:pStyle w:val="Title"/>
        <w:spacing w:line="276" w:lineRule="auto"/>
        <w:jc w:val="both"/>
        <w:rPr>
          <w:rFonts w:ascii="Calibri" w:hAnsi="Calibri" w:cs="Calibri"/>
          <w:b w:val="0"/>
          <w:bCs w:val="0"/>
          <w:color w:val="FF0000"/>
          <w:spacing w:val="4"/>
          <w:sz w:val="8"/>
          <w:szCs w:val="8"/>
          <w:highlight w:val="yellow"/>
        </w:rPr>
      </w:pPr>
    </w:p>
    <w:p w:rsidR="002572BC" w:rsidRPr="00A85749" w:rsidRDefault="002572BC" w:rsidP="00E27141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2572BC" w:rsidRPr="00A85749" w:rsidRDefault="002572BC" w:rsidP="00E27141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</w:pPr>
      <w:r w:rsidRPr="00A85749">
        <w:rPr>
          <w:rFonts w:ascii="Calibri" w:hAnsi="Calibri" w:cs="Calibri"/>
          <w:color w:val="auto"/>
          <w:sz w:val="22"/>
          <w:szCs w:val="22"/>
          <w:lang w:val="el-GR"/>
        </w:rPr>
        <w:t>Απασχόληση και Ανεργία με βάση την Έρευνα Εργατικού Δυναμικού –</w:t>
      </w:r>
      <w:r w:rsidR="001A306D" w:rsidRPr="00A85749">
        <w:rPr>
          <w:rFonts w:ascii="Calibri" w:hAnsi="Calibri" w:cs="Calibri"/>
          <w:color w:val="auto"/>
          <w:sz w:val="22"/>
          <w:szCs w:val="22"/>
          <w:lang w:val="el-GR"/>
        </w:rPr>
        <w:t>Δεύτερο</w:t>
      </w:r>
      <w:r w:rsidR="00256474" w:rsidRPr="00A85749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="00E6013F" w:rsidRPr="00A85749">
        <w:rPr>
          <w:rFonts w:ascii="Calibri" w:hAnsi="Calibri" w:cs="Calibri"/>
          <w:color w:val="auto"/>
          <w:sz w:val="22"/>
          <w:szCs w:val="22"/>
          <w:lang w:val="el-GR"/>
        </w:rPr>
        <w:t>τρίμηνο του 2015</w:t>
      </w:r>
      <w:r w:rsidR="004133BA" w:rsidRPr="00A85749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Pr="00A8574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(βλέπε πίνακα 11)</w:t>
      </w:r>
    </w:p>
    <w:p w:rsidR="002572BC" w:rsidRPr="00A85749" w:rsidRDefault="002572BC" w:rsidP="00E27141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</w:p>
    <w:p w:rsidR="002A7AC1" w:rsidRPr="00A85749" w:rsidRDefault="002A7AC1" w:rsidP="002A7AC1">
      <w:pPr>
        <w:pStyle w:val="ListParagraph"/>
        <w:spacing w:line="276" w:lineRule="auto"/>
        <w:ind w:left="360"/>
        <w:jc w:val="both"/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</w:pPr>
      <w:r w:rsidRPr="00A85749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Ο αριθμός των απασχολούμενων (15+) κατά το 2ο τρίμηνο του 2015 ανερχόταν στις 364,585 χιλιάδες, σε σύγκριση με 364,964 χιλιάδες το ίδιο τρίμηνο του 2014.  Το ποσοστό απασχόλησης των ατόμων 20-64 ετών ανήλθε στο 68,7% το 2ο τρίμηνο του 2015 σημειώνοντας αύξηση 0,9 ποσοστιαίας μονάδας σε σχέση με το αντίστοιχο τρίμηνο του 2014 (67,8%). </w:t>
      </w:r>
      <w:r w:rsidRPr="00A85749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Ο ετήσιος μέσος όρος τ</w:t>
      </w:r>
      <w:r w:rsidRPr="00A85749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ου ποσοστού απασχόλησης των ατόμων 20-64 ετών </w:t>
      </w:r>
      <w:r w:rsidRPr="00A85749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 xml:space="preserve">κατά το 2014 ήταν στο 67,6% παρουσιάζοντας μικρή αύξηση (0,4 </w:t>
      </w:r>
      <w:r w:rsidR="003642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ποσοστιαίες μονάδες</w:t>
      </w:r>
      <w:r w:rsidRPr="00A85749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) σε σχέση με τον ετήσιο μέσο όρο του 2013 (67,2%).</w:t>
      </w:r>
    </w:p>
    <w:p w:rsidR="005D5AED" w:rsidRPr="00A85749" w:rsidRDefault="005D5AED" w:rsidP="002A7AC1">
      <w:pPr>
        <w:pStyle w:val="ListParagraph"/>
        <w:spacing w:line="276" w:lineRule="auto"/>
        <w:ind w:left="0"/>
        <w:jc w:val="both"/>
        <w:rPr>
          <w:rFonts w:asciiTheme="minorHAnsi" w:hAnsiTheme="minorHAnsi" w:cs="Calibri"/>
          <w:b w:val="0"/>
          <w:bCs w:val="0"/>
          <w:color w:val="auto"/>
          <w:sz w:val="4"/>
          <w:szCs w:val="4"/>
          <w:lang w:val="el-GR"/>
        </w:rPr>
      </w:pPr>
    </w:p>
    <w:p w:rsidR="002572BC" w:rsidRPr="00A85749" w:rsidRDefault="002572BC" w:rsidP="002A7AC1">
      <w:pPr>
        <w:pStyle w:val="Title"/>
        <w:spacing w:line="276" w:lineRule="auto"/>
        <w:ind w:left="360"/>
        <w:jc w:val="both"/>
        <w:rPr>
          <w:color w:val="auto"/>
          <w:spacing w:val="4"/>
          <w:sz w:val="20"/>
          <w:szCs w:val="20"/>
        </w:rPr>
      </w:pPr>
    </w:p>
    <w:p w:rsidR="002A7AC1" w:rsidRPr="00A85749" w:rsidRDefault="002A7AC1" w:rsidP="001A306D">
      <w:pPr>
        <w:spacing w:after="240" w:line="276" w:lineRule="auto"/>
        <w:ind w:left="360"/>
        <w:jc w:val="both"/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</w:pP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Το ποσοστό ανεργίας το </w:t>
      </w:r>
      <w:r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2</w:t>
      </w: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u w:val="single"/>
          <w:vertAlign w:val="superscript"/>
          <w:lang w:val="el-GR"/>
        </w:rPr>
        <w:t>ο</w:t>
      </w: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u w:val="single"/>
          <w:lang w:val="el-GR"/>
        </w:rPr>
        <w:t xml:space="preserve"> τρίμηνο</w:t>
      </w: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του 2015 ανερχόταν στο 1</w:t>
      </w:r>
      <w:r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4</w:t>
      </w: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,7% του εργατικού δυναμικού, </w:t>
      </w:r>
      <w:r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μειωμένο κατά 0,7</w:t>
      </w: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</w:t>
      </w:r>
      <w:r w:rsidR="003642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ποσοστιαίες μονάδες</w:t>
      </w:r>
      <w:r w:rsidR="003642BA" w:rsidRPr="003642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σε σχέση με το αντίστοιχο τρίμηνο του 2014</w:t>
      </w:r>
      <w:r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, ενώ μειώθηκε κατά 3,0 ποσοστιαίες μονάδες σε σχέση με το 1</w:t>
      </w:r>
      <w:r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vertAlign w:val="superscript"/>
          <w:lang w:val="el-GR"/>
        </w:rPr>
        <w:t>ο</w:t>
      </w:r>
      <w:r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τρίμηνο του 2015</w:t>
      </w: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. Ο ετήσιος μέσος όρος κατά το 2014 ήταν στο 16,1% </w:t>
      </w:r>
      <w:r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και ο </w:t>
      </w: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ετήσιο</w:t>
      </w:r>
      <w:r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ς</w:t>
      </w: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μέσο</w:t>
      </w:r>
      <w:r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ς</w:t>
      </w: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όρο</w:t>
      </w:r>
      <w:r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ς</w:t>
      </w: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του 2013 </w:t>
      </w:r>
      <w:r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ήταν στο </w:t>
      </w: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15,9%. </w:t>
      </w:r>
    </w:p>
    <w:p w:rsidR="002A7AC1" w:rsidRPr="00A85749" w:rsidRDefault="005D5AED" w:rsidP="001A306D">
      <w:pPr>
        <w:pStyle w:val="ListParagraph"/>
        <w:spacing w:after="240" w:line="276" w:lineRule="auto"/>
        <w:ind w:left="360"/>
        <w:jc w:val="both"/>
        <w:rPr>
          <w:rFonts w:ascii="Calibri" w:hAnsi="Calibri"/>
          <w:b w:val="0"/>
          <w:color w:val="auto"/>
          <w:spacing w:val="4"/>
          <w:sz w:val="22"/>
          <w:szCs w:val="22"/>
          <w:lang w:val="el-GR"/>
        </w:rPr>
      </w:pPr>
      <w:r w:rsidRPr="00A85749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 xml:space="preserve"> </w:t>
      </w:r>
      <w:r w:rsidR="002A7AC1" w:rsidRPr="00A85749">
        <w:rPr>
          <w:rFonts w:ascii="Calibri" w:hAnsi="Calibri" w:cs="Calibri"/>
          <w:b w:val="0"/>
          <w:color w:val="auto"/>
          <w:spacing w:val="4"/>
          <w:sz w:val="22"/>
          <w:szCs w:val="22"/>
          <w:lang w:val="el-GR"/>
        </w:rPr>
        <w:t>Με βάση τα αποτελέσματα της Έρευνας Εργατικού Δυναμικού για το 2</w:t>
      </w:r>
      <w:r w:rsidR="002A7AC1" w:rsidRPr="00A85749">
        <w:rPr>
          <w:rFonts w:ascii="Calibri" w:hAnsi="Calibri" w:cs="Calibri"/>
          <w:b w:val="0"/>
          <w:color w:val="auto"/>
          <w:spacing w:val="4"/>
          <w:sz w:val="22"/>
          <w:szCs w:val="22"/>
          <w:u w:val="single"/>
          <w:vertAlign w:val="superscript"/>
          <w:lang w:val="el-GR"/>
        </w:rPr>
        <w:t>ο</w:t>
      </w:r>
      <w:r w:rsidR="002A7AC1" w:rsidRPr="00A85749">
        <w:rPr>
          <w:rFonts w:ascii="Calibri" w:hAnsi="Calibri" w:cs="Calibri"/>
          <w:b w:val="0"/>
          <w:color w:val="auto"/>
          <w:spacing w:val="4"/>
          <w:sz w:val="22"/>
          <w:szCs w:val="22"/>
          <w:u w:val="single"/>
          <w:lang w:val="el-GR"/>
        </w:rPr>
        <w:t xml:space="preserve"> τρίμηνο</w:t>
      </w:r>
      <w:r w:rsidR="002A7AC1" w:rsidRPr="00A85749">
        <w:rPr>
          <w:rFonts w:ascii="Calibri" w:hAnsi="Calibri" w:cs="Calibri"/>
          <w:b w:val="0"/>
          <w:color w:val="auto"/>
          <w:spacing w:val="4"/>
          <w:sz w:val="22"/>
          <w:szCs w:val="22"/>
          <w:lang w:val="el-GR"/>
        </w:rPr>
        <w:t xml:space="preserve"> του 2015 (τελευταία διαθέσιμα στοιχεία), το ποσοστό ανεργίας για τους νέους 15-24 ετών </w:t>
      </w:r>
      <w:r w:rsidR="002A7AC1"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ήταν 31</w:t>
      </w:r>
      <w:r w:rsidR="002A7AC1"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,7</w:t>
      </w:r>
      <w:r w:rsidR="002A7AC1"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% του εργατικού δυναμικού των ηλικιών αυτών, σημειώνοντας μείωση (</w:t>
      </w:r>
      <w:r w:rsidR="002A7AC1"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5</w:t>
      </w:r>
      <w:r w:rsidR="002A7AC1"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,5 ποσοστιαίες </w:t>
      </w:r>
      <w:r w:rsidR="002A7AC1"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lastRenderedPageBreak/>
        <w:t>μονάδες) σε σχέση με το αντίστοιχο τρίμηνο του 2014</w:t>
      </w:r>
      <w:r w:rsidR="002A7AC1"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, </w:t>
      </w:r>
      <w:r w:rsidR="002A7AC1"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ενώ μειώθηκε κατά </w:t>
      </w:r>
      <w:r w:rsidR="002A7AC1"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5,4</w:t>
      </w:r>
      <w:r w:rsidR="002A7AC1"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ποσοστιαίες μονάδες σε σχέση με το 1</w:t>
      </w:r>
      <w:r w:rsidR="002A7AC1" w:rsidRPr="00A85749">
        <w:rPr>
          <w:rFonts w:ascii="Calibri" w:hAnsi="Calibri" w:cs="Arial"/>
          <w:b w:val="0"/>
          <w:color w:val="auto"/>
          <w:spacing w:val="4"/>
          <w:sz w:val="22"/>
          <w:szCs w:val="22"/>
          <w:vertAlign w:val="superscript"/>
          <w:lang w:val="el-GR"/>
        </w:rPr>
        <w:t>ο</w:t>
      </w:r>
      <w:r w:rsidR="002A7AC1"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τρίμηνο του 2015. Ο ετήσιος μέσος όρος κατά το 2014 ήταν στο 35,9% παρουσιάζοντας μείωση (3,0 ποσοστιαίες μονάδες) σε σχέση με τον ετήσιο μέσο όρο του 2013 (38,9%).</w:t>
      </w:r>
    </w:p>
    <w:p w:rsidR="002572BC" w:rsidRPr="00A85749" w:rsidRDefault="002572BC" w:rsidP="00AA3D0D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  <w:r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Το μερίδιο των ατόμων με διάρκεια ανεργίας πάνω από </w:t>
      </w:r>
      <w:r w:rsidR="002A7AC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12</w:t>
      </w:r>
      <w:r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μήνες στο σύνολο των ανέργων ανερχόταν στο </w:t>
      </w:r>
      <w:r w:rsidR="002A7AC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46,5</w:t>
      </w:r>
      <w:r w:rsidR="00F47370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%</w:t>
      </w:r>
      <w:r w:rsidR="00EC3360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</w:t>
      </w:r>
      <w:r w:rsidR="006B45A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το </w:t>
      </w:r>
      <w:r w:rsidR="002A7AC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2</w:t>
      </w:r>
      <w:r w:rsidR="005D5AED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vertAlign w:val="superscript"/>
        </w:rPr>
        <w:t>ο</w:t>
      </w:r>
      <w:r w:rsidR="005D5AED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τρίμηνο </w:t>
      </w:r>
      <w:r w:rsidR="006B45A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του </w:t>
      </w:r>
      <w:r w:rsidR="005D5AED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2015</w:t>
      </w:r>
      <w:r w:rsidR="00F47370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, </w:t>
      </w:r>
      <w:r w:rsidR="006B45A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μειωμένο </w:t>
      </w:r>
      <w:r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κατά </w:t>
      </w:r>
      <w:r w:rsidR="002A7AC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3,6</w:t>
      </w:r>
      <w:r w:rsidR="00EC3360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</w:t>
      </w:r>
      <w:r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ποσοστιαίες μονάδες σε σύγκριση με το </w:t>
      </w:r>
      <w:r w:rsidR="005D5AED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αντίστοιχο τρίμηνο του 2014</w:t>
      </w:r>
      <w:r w:rsidR="002A7AC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 ενώ είναι αυξημένο σε σχέση με το 1</w:t>
      </w:r>
      <w:r w:rsidR="002A7AC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vertAlign w:val="superscript"/>
        </w:rPr>
        <w:t>ο</w:t>
      </w:r>
      <w:r w:rsidR="002A7AC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τρίμηνο του 2015 κατά 3,4 ποσοστιαίες μονάδες.</w:t>
      </w:r>
      <w:r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</w:t>
      </w:r>
      <w:r w:rsidR="00EC3360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Το μερίδιο των ατόμων με διάρκεια ανεργίας πάνω από 12 μήνες</w:t>
      </w:r>
      <w:r w:rsidR="000A14AF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έφτασε στο 4</w:t>
      </w:r>
      <w:r w:rsidR="006B45A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3,1</w:t>
      </w:r>
      <w:r w:rsidR="000A14AF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% (</w:t>
      </w:r>
      <w:r w:rsidR="005D5AED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1</w:t>
      </w:r>
      <w:r w:rsidR="005D5AED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vertAlign w:val="superscript"/>
        </w:rPr>
        <w:t>ο</w:t>
      </w:r>
      <w:r w:rsidR="005D5AED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τρίμηνο 2015</w:t>
      </w:r>
      <w:r w:rsidR="000A14AF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) </w:t>
      </w:r>
      <w:r w:rsidR="006B45A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μειωμένο </w:t>
      </w:r>
      <w:r w:rsidR="000A14AF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κατά </w:t>
      </w:r>
      <w:r w:rsidR="006B45A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1,2</w:t>
      </w:r>
      <w:r w:rsidR="000A14AF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ποσοστιαίες μονάδες σε σχέση με το </w:t>
      </w:r>
      <w:r w:rsidR="005D5AED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αντίστοιχο τρίμηνο του 2014</w:t>
      </w:r>
      <w:r w:rsidR="000A14AF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.</w:t>
      </w:r>
      <w:r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</w:t>
      </w:r>
    </w:p>
    <w:p w:rsidR="002572BC" w:rsidRPr="00A85749" w:rsidRDefault="002572BC" w:rsidP="00E27141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</w:p>
    <w:p w:rsidR="00EC3360" w:rsidRPr="001A306D" w:rsidRDefault="00EC3360" w:rsidP="00E27141">
      <w:pPr>
        <w:pStyle w:val="Title"/>
        <w:spacing w:line="276" w:lineRule="auto"/>
        <w:ind w:firstLine="360"/>
        <w:jc w:val="both"/>
        <w:rPr>
          <w:rFonts w:ascii="Calibri" w:hAnsi="Calibri" w:cs="Calibri"/>
          <w:color w:val="auto"/>
          <w:spacing w:val="4"/>
          <w:sz w:val="22"/>
          <w:szCs w:val="22"/>
        </w:rPr>
      </w:pPr>
    </w:p>
    <w:p w:rsidR="002572BC" w:rsidRPr="001A306D" w:rsidRDefault="001F6795" w:rsidP="00E27141">
      <w:pPr>
        <w:pStyle w:val="Title"/>
        <w:spacing w:line="276" w:lineRule="auto"/>
        <w:ind w:firstLine="360"/>
        <w:jc w:val="both"/>
        <w:rPr>
          <w:rFonts w:ascii="Calibri" w:hAnsi="Calibri" w:cs="Calibri"/>
          <w:color w:val="auto"/>
          <w:spacing w:val="4"/>
          <w:sz w:val="22"/>
          <w:szCs w:val="22"/>
        </w:rPr>
      </w:pPr>
      <w:r>
        <w:rPr>
          <w:rFonts w:ascii="Calibri" w:hAnsi="Calibri" w:cs="Calibri"/>
          <w:color w:val="auto"/>
          <w:spacing w:val="4"/>
          <w:sz w:val="22"/>
          <w:szCs w:val="22"/>
        </w:rPr>
        <w:t>Νοέμβριος</w:t>
      </w:r>
      <w:r w:rsidR="00176C5F" w:rsidRPr="001A306D">
        <w:rPr>
          <w:rFonts w:ascii="Calibri" w:hAnsi="Calibri" w:cs="Calibri"/>
          <w:color w:val="auto"/>
          <w:spacing w:val="4"/>
          <w:sz w:val="22"/>
          <w:szCs w:val="22"/>
        </w:rPr>
        <w:t xml:space="preserve"> </w:t>
      </w:r>
      <w:r w:rsidR="002572BC" w:rsidRPr="001A306D">
        <w:rPr>
          <w:rFonts w:ascii="Calibri" w:hAnsi="Calibri" w:cs="Calibri"/>
          <w:color w:val="auto"/>
          <w:spacing w:val="4"/>
          <w:sz w:val="22"/>
          <w:szCs w:val="22"/>
        </w:rPr>
        <w:t>201</w:t>
      </w:r>
      <w:r w:rsidR="006F377F" w:rsidRPr="001A306D">
        <w:rPr>
          <w:rFonts w:ascii="Calibri" w:hAnsi="Calibri" w:cs="Calibri"/>
          <w:color w:val="auto"/>
          <w:spacing w:val="4"/>
          <w:sz w:val="22"/>
          <w:szCs w:val="22"/>
        </w:rPr>
        <w:t>5</w:t>
      </w:r>
      <w:r w:rsidR="002572BC" w:rsidRPr="001A306D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A44FCD" w:rsidRPr="001A306D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A44FCD" w:rsidRPr="001A306D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A44FCD" w:rsidRPr="001A306D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2572BC" w:rsidRPr="001A306D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95431E" w:rsidRPr="001A306D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2572BC" w:rsidRPr="001A306D">
        <w:rPr>
          <w:rFonts w:ascii="Calibri" w:hAnsi="Calibri" w:cs="Calibri"/>
          <w:color w:val="auto"/>
          <w:spacing w:val="4"/>
          <w:sz w:val="22"/>
          <w:szCs w:val="22"/>
        </w:rPr>
        <w:t>Παρατηρητήριο Αγοράς Εργασίας</w:t>
      </w:r>
    </w:p>
    <w:p w:rsidR="002572BC" w:rsidRPr="001A306D" w:rsidRDefault="002572BC" w:rsidP="00E27141">
      <w:pPr>
        <w:pStyle w:val="Title"/>
        <w:spacing w:line="276" w:lineRule="auto"/>
        <w:ind w:left="6840" w:firstLine="360"/>
        <w:rPr>
          <w:rFonts w:ascii="Calibri" w:hAnsi="Calibri" w:cs="Calibri"/>
          <w:color w:val="auto"/>
          <w:spacing w:val="4"/>
          <w:sz w:val="22"/>
          <w:szCs w:val="22"/>
        </w:rPr>
      </w:pPr>
      <w:r w:rsidRPr="001A306D">
        <w:rPr>
          <w:rFonts w:ascii="Calibri" w:hAnsi="Calibri" w:cs="Calibri"/>
          <w:color w:val="auto"/>
          <w:spacing w:val="4"/>
          <w:sz w:val="22"/>
          <w:szCs w:val="22"/>
        </w:rPr>
        <w:t>Τμήμα</w:t>
      </w:r>
      <w:r w:rsidR="0095431E" w:rsidRPr="001A306D">
        <w:rPr>
          <w:rFonts w:ascii="Calibri" w:hAnsi="Calibri" w:cs="Calibri"/>
          <w:color w:val="auto"/>
          <w:spacing w:val="4"/>
          <w:sz w:val="22"/>
          <w:szCs w:val="22"/>
        </w:rPr>
        <w:t xml:space="preserve"> </w:t>
      </w:r>
      <w:r w:rsidRPr="001A306D">
        <w:rPr>
          <w:rFonts w:ascii="Calibri" w:hAnsi="Calibri" w:cs="Calibri"/>
          <w:color w:val="auto"/>
          <w:spacing w:val="4"/>
          <w:sz w:val="22"/>
          <w:szCs w:val="22"/>
        </w:rPr>
        <w:t>Εργασίας</w:t>
      </w:r>
    </w:p>
    <w:p w:rsidR="007C3020" w:rsidRPr="001A306D" w:rsidRDefault="007C3020" w:rsidP="00E27141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E27141" w:rsidRPr="001A306D" w:rsidRDefault="00E27141" w:rsidP="00EC3360">
      <w:pPr>
        <w:spacing w:line="276" w:lineRule="auto"/>
        <w:ind w:left="142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E27141" w:rsidRPr="001A306D" w:rsidRDefault="00E27141" w:rsidP="00EC3360">
      <w:pPr>
        <w:spacing w:line="276" w:lineRule="auto"/>
        <w:ind w:left="142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E27141" w:rsidRPr="001A306D" w:rsidRDefault="00E27141" w:rsidP="00EC3360">
      <w:pPr>
        <w:spacing w:line="276" w:lineRule="auto"/>
        <w:ind w:left="142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E27141" w:rsidRPr="001A306D" w:rsidRDefault="00E27141" w:rsidP="00EC3360">
      <w:pPr>
        <w:spacing w:line="276" w:lineRule="auto"/>
        <w:ind w:left="142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E27141" w:rsidRPr="001A306D" w:rsidRDefault="00E27141" w:rsidP="00EC3360">
      <w:pPr>
        <w:spacing w:line="276" w:lineRule="auto"/>
        <w:ind w:left="142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E27141" w:rsidRPr="001A306D" w:rsidRDefault="00E27141" w:rsidP="00EC3360">
      <w:pPr>
        <w:spacing w:line="276" w:lineRule="auto"/>
        <w:ind w:left="142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E27141" w:rsidRPr="001A306D" w:rsidRDefault="00E27141" w:rsidP="00EC3360">
      <w:pPr>
        <w:spacing w:line="276" w:lineRule="auto"/>
        <w:ind w:left="142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E27141" w:rsidRPr="001A306D" w:rsidRDefault="00E27141" w:rsidP="00EC3360">
      <w:pPr>
        <w:spacing w:line="276" w:lineRule="auto"/>
        <w:ind w:left="142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5B7E50" w:rsidRPr="001A306D" w:rsidRDefault="005B7E50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5B7E50" w:rsidRPr="001A306D" w:rsidRDefault="005B7E50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5B7E50" w:rsidRPr="001A306D" w:rsidRDefault="005B7E50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5B7E50" w:rsidRPr="001A306D" w:rsidRDefault="005B7E50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5B7E50" w:rsidRPr="001A306D" w:rsidRDefault="005B7E50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5B7E50" w:rsidRPr="001A306D" w:rsidRDefault="005B7E50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2572BC" w:rsidRPr="001A306D" w:rsidRDefault="002572BC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proofErr w:type="spellStart"/>
      <w:r w:rsidRPr="001A306D"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  <w:t>ΜΡη</w:t>
      </w:r>
      <w:proofErr w:type="spellEnd"/>
      <w:r w:rsidRPr="001A306D">
        <w:rPr>
          <w:rFonts w:ascii="Calibri" w:hAnsi="Calibri" w:cs="Calibri"/>
          <w:b w:val="0"/>
          <w:bCs w:val="0"/>
          <w:color w:val="auto"/>
          <w:sz w:val="18"/>
          <w:szCs w:val="18"/>
        </w:rPr>
        <w:t>,</w:t>
      </w:r>
      <w:r w:rsidR="00A85749">
        <w:rPr>
          <w:rFonts w:ascii="Calibri" w:hAnsi="Calibri" w:cs="Calibri"/>
          <w:b w:val="0"/>
          <w:bCs w:val="0"/>
          <w:color w:val="auto"/>
          <w:sz w:val="18"/>
          <w:szCs w:val="18"/>
        </w:rPr>
        <w:fldChar w:fldCharType="begin"/>
      </w:r>
      <w:r w:rsidR="00A85749">
        <w:rPr>
          <w:rFonts w:ascii="Calibri" w:hAnsi="Calibri" w:cs="Calibri"/>
          <w:b w:val="0"/>
          <w:bCs w:val="0"/>
          <w:color w:val="auto"/>
          <w:sz w:val="18"/>
          <w:szCs w:val="18"/>
        </w:rPr>
        <w:instrText xml:space="preserve"> FILENAME  \p  \* MERGEFORMAT </w:instrText>
      </w:r>
      <w:r w:rsidR="00A85749">
        <w:rPr>
          <w:rFonts w:ascii="Calibri" w:hAnsi="Calibri" w:cs="Calibri"/>
          <w:b w:val="0"/>
          <w:bCs w:val="0"/>
          <w:color w:val="auto"/>
          <w:sz w:val="18"/>
          <w:szCs w:val="18"/>
        </w:rPr>
        <w:fldChar w:fldCharType="separate"/>
      </w:r>
      <w:r w:rsidR="00A85749">
        <w:rPr>
          <w:rFonts w:ascii="Calibri" w:hAnsi="Calibri" w:cs="Calibri"/>
          <w:b w:val="0"/>
          <w:bCs w:val="0"/>
          <w:noProof/>
          <w:color w:val="auto"/>
          <w:sz w:val="18"/>
          <w:szCs w:val="18"/>
        </w:rPr>
        <w:t>C:\Users\Administrator\M RIGOU\Ανεργία - Μηνιαίες Εκθέσεις\2015 registered unemployed-monthly reports\October 2015\Reports\Παράρτημα Ι report.docx</w:t>
      </w:r>
      <w:r w:rsidR="00A85749">
        <w:rPr>
          <w:rFonts w:ascii="Calibri" w:hAnsi="Calibri" w:cs="Calibri"/>
          <w:b w:val="0"/>
          <w:bCs w:val="0"/>
          <w:color w:val="auto"/>
          <w:sz w:val="18"/>
          <w:szCs w:val="18"/>
        </w:rPr>
        <w:fldChar w:fldCharType="end"/>
      </w:r>
      <w:r w:rsidRPr="001A306D">
        <w:rPr>
          <w:rFonts w:ascii="Calibri" w:hAnsi="Calibri" w:cs="Calibri"/>
          <w:b w:val="0"/>
          <w:bCs w:val="0"/>
          <w:color w:val="auto"/>
          <w:sz w:val="18"/>
          <w:szCs w:val="18"/>
        </w:rPr>
        <w:tab/>
      </w:r>
    </w:p>
    <w:sectPr w:rsidR="002572BC" w:rsidRPr="001A306D" w:rsidSect="002B08DA">
      <w:footerReference w:type="default" r:id="rId16"/>
      <w:pgSz w:w="11907" w:h="16839" w:code="9"/>
      <w:pgMar w:top="1440" w:right="1559" w:bottom="1440" w:left="1080" w:header="706" w:footer="401" w:gutter="23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C4" w:rsidRDefault="00AA61C4">
      <w:r>
        <w:separator/>
      </w:r>
    </w:p>
  </w:endnote>
  <w:endnote w:type="continuationSeparator" w:id="0">
    <w:p w:rsidR="00AA61C4" w:rsidRDefault="00AA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BC" w:rsidRPr="00D86598" w:rsidRDefault="00BE6BF6">
    <w:pPr>
      <w:pStyle w:val="Footer"/>
      <w:jc w:val="right"/>
      <w:rPr>
        <w:sz w:val="20"/>
        <w:szCs w:val="20"/>
      </w:rPr>
    </w:pPr>
    <w:r w:rsidRPr="00D86598">
      <w:rPr>
        <w:sz w:val="20"/>
        <w:szCs w:val="20"/>
      </w:rPr>
      <w:fldChar w:fldCharType="begin"/>
    </w:r>
    <w:r w:rsidR="002572BC" w:rsidRPr="00D86598">
      <w:rPr>
        <w:sz w:val="20"/>
        <w:szCs w:val="20"/>
      </w:rPr>
      <w:instrText xml:space="preserve"> PAGE   \* MERGEFORMAT </w:instrText>
    </w:r>
    <w:r w:rsidRPr="00D86598">
      <w:rPr>
        <w:sz w:val="20"/>
        <w:szCs w:val="20"/>
      </w:rPr>
      <w:fldChar w:fldCharType="separate"/>
    </w:r>
    <w:r w:rsidR="002E5E7F">
      <w:rPr>
        <w:noProof/>
        <w:sz w:val="20"/>
        <w:szCs w:val="20"/>
      </w:rPr>
      <w:t>1</w:t>
    </w:r>
    <w:r w:rsidRPr="00D86598">
      <w:rPr>
        <w:sz w:val="20"/>
        <w:szCs w:val="20"/>
      </w:rPr>
      <w:fldChar w:fldCharType="end"/>
    </w:r>
  </w:p>
  <w:p w:rsidR="002572BC" w:rsidRDefault="002572BC" w:rsidP="00E1739D">
    <w:pPr>
      <w:pStyle w:val="Footer"/>
      <w:ind w:right="360"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C4" w:rsidRDefault="00AA61C4">
      <w:r>
        <w:separator/>
      </w:r>
    </w:p>
  </w:footnote>
  <w:footnote w:type="continuationSeparator" w:id="0">
    <w:p w:rsidR="00AA61C4" w:rsidRDefault="00AA61C4">
      <w:r>
        <w:continuationSeparator/>
      </w:r>
    </w:p>
  </w:footnote>
  <w:footnote w:id="1">
    <w:p w:rsidR="002572BC" w:rsidRPr="00DE7394" w:rsidRDefault="002572BC" w:rsidP="003F6AB1">
      <w:pPr>
        <w:pStyle w:val="FootnoteText"/>
        <w:spacing w:before="80"/>
        <w:rPr>
          <w:lang w:val="el-GR"/>
        </w:rPr>
      </w:pPr>
      <w:r>
        <w:rPr>
          <w:rStyle w:val="FootnoteReference"/>
        </w:rPr>
        <w:footnoteRef/>
      </w:r>
      <w:r>
        <w:rPr>
          <w:lang w:val="el-GR"/>
        </w:rPr>
        <w:t xml:space="preserve">Η εγγεγραμμένη ανεργία αφορά μόνο τους ανέργους που εγγράφονται στα κατά τόπους Γραφεία Εργασίας και ως εκ τούτου δεν είναι αντιπροσωπευτική της συνολικής ανεργίας. </w:t>
      </w:r>
    </w:p>
  </w:footnote>
  <w:footnote w:id="2">
    <w:p w:rsidR="002572BC" w:rsidRPr="00DE7394" w:rsidRDefault="002572BC" w:rsidP="003F6AB1">
      <w:pPr>
        <w:pStyle w:val="FootnoteText"/>
        <w:jc w:val="both"/>
        <w:rPr>
          <w:lang w:val="el-GR"/>
        </w:rPr>
      </w:pPr>
      <w:r>
        <w:rPr>
          <w:rStyle w:val="FootnoteReference"/>
        </w:rPr>
        <w:footnoteRef/>
      </w:r>
      <w:r>
        <w:rPr>
          <w:lang w:val="el-GR"/>
        </w:rPr>
        <w:t xml:space="preserve">Τα στοιχεία της </w:t>
      </w:r>
      <w:r>
        <w:t>EUROSTAT</w:t>
      </w:r>
      <w:r>
        <w:rPr>
          <w:lang w:val="el-GR"/>
        </w:rPr>
        <w:t xml:space="preserve"> είναι </w:t>
      </w:r>
      <w:r w:rsidRPr="00AF31D1">
        <w:rPr>
          <w:rFonts w:ascii="Calibri" w:hAnsi="Calibri" w:cs="Calibri"/>
          <w:color w:val="auto"/>
          <w:sz w:val="22"/>
          <w:szCs w:val="22"/>
          <w:lang w:val="el-GR"/>
        </w:rPr>
        <w:t>προκαταρκτικά</w:t>
      </w:r>
      <w:r>
        <w:rPr>
          <w:rFonts w:ascii="Calibri" w:hAnsi="Calibri" w:cs="Calibri"/>
          <w:color w:val="auto"/>
          <w:sz w:val="22"/>
          <w:szCs w:val="22"/>
          <w:lang w:val="el-GR"/>
        </w:rPr>
        <w:t>,</w:t>
      </w:r>
      <w:r w:rsidRPr="00AF31D1">
        <w:rPr>
          <w:rFonts w:ascii="Calibri" w:hAnsi="Calibri" w:cs="Calibri"/>
          <w:color w:val="auto"/>
          <w:sz w:val="22"/>
          <w:szCs w:val="22"/>
          <w:lang w:val="el-GR"/>
        </w:rPr>
        <w:t xml:space="preserve"> αποτελούν πρόβλεψη</w:t>
      </w:r>
      <w:r>
        <w:rPr>
          <w:rFonts w:ascii="Calibri" w:hAnsi="Calibri" w:cs="Calibri"/>
          <w:color w:val="auto"/>
          <w:sz w:val="22"/>
          <w:szCs w:val="22"/>
          <w:lang w:val="el-GR"/>
        </w:rPr>
        <w:t xml:space="preserve"> και είναι</w:t>
      </w:r>
      <w:r>
        <w:rPr>
          <w:lang w:val="el-GR"/>
        </w:rPr>
        <w:t xml:space="preserve"> διαθέσιμα με ένα μήνα καθυστέρηση.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DC7"/>
    <w:multiLevelType w:val="hybridMultilevel"/>
    <w:tmpl w:val="EEEC9686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7B59"/>
    <w:multiLevelType w:val="hybridMultilevel"/>
    <w:tmpl w:val="D6D2CE04"/>
    <w:lvl w:ilvl="0" w:tplc="1884CDF2">
      <w:start w:val="1"/>
      <w:numFmt w:val="bullet"/>
      <w:lvlText w:val="-"/>
      <w:lvlJc w:val="left"/>
      <w:pPr>
        <w:tabs>
          <w:tab w:val="num" w:pos="1180"/>
        </w:tabs>
        <w:ind w:left="1180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2">
    <w:nsid w:val="0D801743"/>
    <w:multiLevelType w:val="hybridMultilevel"/>
    <w:tmpl w:val="75523B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5FE1"/>
    <w:multiLevelType w:val="hybridMultilevel"/>
    <w:tmpl w:val="02B41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0204C6"/>
    <w:multiLevelType w:val="hybridMultilevel"/>
    <w:tmpl w:val="79DEA1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260AA"/>
    <w:multiLevelType w:val="hybridMultilevel"/>
    <w:tmpl w:val="2E361C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0D126A3"/>
    <w:multiLevelType w:val="hybridMultilevel"/>
    <w:tmpl w:val="C6C05040"/>
    <w:lvl w:ilvl="0" w:tplc="E7F8B79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2EC7F57"/>
    <w:multiLevelType w:val="hybridMultilevel"/>
    <w:tmpl w:val="26F61AEA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3356BDE"/>
    <w:multiLevelType w:val="hybridMultilevel"/>
    <w:tmpl w:val="DE481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4D06F59"/>
    <w:multiLevelType w:val="hybridMultilevel"/>
    <w:tmpl w:val="04D24F5C"/>
    <w:lvl w:ilvl="0" w:tplc="C406AE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2BD00E93"/>
    <w:multiLevelType w:val="hybridMultilevel"/>
    <w:tmpl w:val="B58AFDBE"/>
    <w:lvl w:ilvl="0" w:tplc="0AE8C130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2E9D7C94"/>
    <w:multiLevelType w:val="hybridMultilevel"/>
    <w:tmpl w:val="BBE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4955A0"/>
    <w:multiLevelType w:val="hybridMultilevel"/>
    <w:tmpl w:val="5F8E3A82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581389"/>
    <w:multiLevelType w:val="hybridMultilevel"/>
    <w:tmpl w:val="5E3A7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4D0E0B"/>
    <w:multiLevelType w:val="hybridMultilevel"/>
    <w:tmpl w:val="FFF638D2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B7652A2"/>
    <w:multiLevelType w:val="hybridMultilevel"/>
    <w:tmpl w:val="C00AEA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102A0"/>
    <w:multiLevelType w:val="hybridMultilevel"/>
    <w:tmpl w:val="B2700208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3E4F1A07"/>
    <w:multiLevelType w:val="hybridMultilevel"/>
    <w:tmpl w:val="BE4AB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9591094"/>
    <w:multiLevelType w:val="hybridMultilevel"/>
    <w:tmpl w:val="6BFC2754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DD4095A"/>
    <w:multiLevelType w:val="hybridMultilevel"/>
    <w:tmpl w:val="85324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A28C6"/>
    <w:multiLevelType w:val="hybridMultilevel"/>
    <w:tmpl w:val="060070D4"/>
    <w:lvl w:ilvl="0" w:tplc="CD085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3A30AE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01E55"/>
    <w:multiLevelType w:val="hybridMultilevel"/>
    <w:tmpl w:val="D93EE190"/>
    <w:lvl w:ilvl="0" w:tplc="E7F8B79C">
      <w:start w:val="1"/>
      <w:numFmt w:val="bullet"/>
      <w:lvlText w:val=""/>
      <w:lvlJc w:val="left"/>
      <w:pPr>
        <w:ind w:left="14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22">
    <w:nsid w:val="56E439FB"/>
    <w:multiLevelType w:val="hybridMultilevel"/>
    <w:tmpl w:val="3FF62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CDC2AE6"/>
    <w:multiLevelType w:val="hybridMultilevel"/>
    <w:tmpl w:val="ADA66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04D2987"/>
    <w:multiLevelType w:val="hybridMultilevel"/>
    <w:tmpl w:val="C114CF2A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A5C1BA8"/>
    <w:multiLevelType w:val="hybridMultilevel"/>
    <w:tmpl w:val="3BDCC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B156493"/>
    <w:multiLevelType w:val="hybridMultilevel"/>
    <w:tmpl w:val="4718E312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0DB61B3"/>
    <w:multiLevelType w:val="hybridMultilevel"/>
    <w:tmpl w:val="7EFCF9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95E44"/>
    <w:multiLevelType w:val="hybridMultilevel"/>
    <w:tmpl w:val="5DA4FAA2"/>
    <w:lvl w:ilvl="0" w:tplc="4C8E4B6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714C3D1C"/>
    <w:multiLevelType w:val="hybridMultilevel"/>
    <w:tmpl w:val="243213C6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73DC1B8C"/>
    <w:multiLevelType w:val="hybridMultilevel"/>
    <w:tmpl w:val="340C2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F5D76"/>
    <w:multiLevelType w:val="hybridMultilevel"/>
    <w:tmpl w:val="DDC8BBBC"/>
    <w:lvl w:ilvl="0" w:tplc="0EFC505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5A46FF6"/>
    <w:multiLevelType w:val="hybridMultilevel"/>
    <w:tmpl w:val="1B062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5F62B27"/>
    <w:multiLevelType w:val="hybridMultilevel"/>
    <w:tmpl w:val="FAB0D81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CD15DF"/>
    <w:multiLevelType w:val="hybridMultilevel"/>
    <w:tmpl w:val="8BD61078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7CD424DA"/>
    <w:multiLevelType w:val="hybridMultilevel"/>
    <w:tmpl w:val="5D944C02"/>
    <w:lvl w:ilvl="0" w:tplc="E7F8B79C">
      <w:start w:val="1"/>
      <w:numFmt w:val="bullet"/>
      <w:lvlText w:val="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7">
    <w:nsid w:val="7E9310B3"/>
    <w:multiLevelType w:val="hybridMultilevel"/>
    <w:tmpl w:val="92A8BDD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024944"/>
    <w:multiLevelType w:val="hybridMultilevel"/>
    <w:tmpl w:val="17846946"/>
    <w:lvl w:ilvl="0" w:tplc="8A8A47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24"/>
  </w:num>
  <w:num w:numId="5">
    <w:abstractNumId w:val="1"/>
  </w:num>
  <w:num w:numId="6">
    <w:abstractNumId w:val="23"/>
  </w:num>
  <w:num w:numId="7">
    <w:abstractNumId w:val="33"/>
  </w:num>
  <w:num w:numId="8">
    <w:abstractNumId w:val="26"/>
  </w:num>
  <w:num w:numId="9">
    <w:abstractNumId w:val="13"/>
  </w:num>
  <w:num w:numId="10">
    <w:abstractNumId w:val="10"/>
  </w:num>
  <w:num w:numId="11">
    <w:abstractNumId w:val="5"/>
  </w:num>
  <w:num w:numId="12">
    <w:abstractNumId w:val="20"/>
  </w:num>
  <w:num w:numId="13">
    <w:abstractNumId w:val="32"/>
  </w:num>
  <w:num w:numId="14">
    <w:abstractNumId w:val="38"/>
  </w:num>
  <w:num w:numId="15">
    <w:abstractNumId w:val="27"/>
  </w:num>
  <w:num w:numId="16">
    <w:abstractNumId w:val="29"/>
  </w:num>
  <w:num w:numId="17">
    <w:abstractNumId w:val="25"/>
  </w:num>
  <w:num w:numId="18">
    <w:abstractNumId w:val="18"/>
  </w:num>
  <w:num w:numId="19">
    <w:abstractNumId w:val="7"/>
  </w:num>
  <w:num w:numId="20">
    <w:abstractNumId w:val="14"/>
  </w:num>
  <w:num w:numId="21">
    <w:abstractNumId w:val="8"/>
  </w:num>
  <w:num w:numId="22">
    <w:abstractNumId w:val="3"/>
  </w:num>
  <w:num w:numId="23">
    <w:abstractNumId w:val="22"/>
  </w:num>
  <w:num w:numId="24">
    <w:abstractNumId w:val="12"/>
  </w:num>
  <w:num w:numId="25">
    <w:abstractNumId w:val="35"/>
  </w:num>
  <w:num w:numId="26">
    <w:abstractNumId w:val="6"/>
  </w:num>
  <w:num w:numId="27">
    <w:abstractNumId w:val="36"/>
  </w:num>
  <w:num w:numId="28">
    <w:abstractNumId w:val="21"/>
  </w:num>
  <w:num w:numId="29">
    <w:abstractNumId w:val="30"/>
  </w:num>
  <w:num w:numId="30">
    <w:abstractNumId w:val="16"/>
  </w:num>
  <w:num w:numId="31">
    <w:abstractNumId w:val="11"/>
  </w:num>
  <w:num w:numId="32">
    <w:abstractNumId w:val="28"/>
  </w:num>
  <w:num w:numId="33">
    <w:abstractNumId w:val="31"/>
  </w:num>
  <w:num w:numId="34">
    <w:abstractNumId w:val="0"/>
  </w:num>
  <w:num w:numId="35">
    <w:abstractNumId w:val="37"/>
  </w:num>
  <w:num w:numId="36">
    <w:abstractNumId w:val="2"/>
  </w:num>
  <w:num w:numId="37">
    <w:abstractNumId w:val="4"/>
  </w:num>
  <w:num w:numId="38">
    <w:abstractNumId w:val="3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4"/>
    <w:rsid w:val="000002D8"/>
    <w:rsid w:val="000005C8"/>
    <w:rsid w:val="00000A51"/>
    <w:rsid w:val="00001AFF"/>
    <w:rsid w:val="00002B46"/>
    <w:rsid w:val="0000322F"/>
    <w:rsid w:val="000037F3"/>
    <w:rsid w:val="0000387B"/>
    <w:rsid w:val="000056E2"/>
    <w:rsid w:val="00005BCF"/>
    <w:rsid w:val="000062B7"/>
    <w:rsid w:val="000064B5"/>
    <w:rsid w:val="00006BCD"/>
    <w:rsid w:val="000071D9"/>
    <w:rsid w:val="00007776"/>
    <w:rsid w:val="00007B03"/>
    <w:rsid w:val="000107F7"/>
    <w:rsid w:val="0001206A"/>
    <w:rsid w:val="00012FCE"/>
    <w:rsid w:val="000130E8"/>
    <w:rsid w:val="0001395E"/>
    <w:rsid w:val="00013E64"/>
    <w:rsid w:val="000143F8"/>
    <w:rsid w:val="00015215"/>
    <w:rsid w:val="000153DC"/>
    <w:rsid w:val="00015698"/>
    <w:rsid w:val="0001621A"/>
    <w:rsid w:val="000164C0"/>
    <w:rsid w:val="000168FD"/>
    <w:rsid w:val="000173AE"/>
    <w:rsid w:val="0001751A"/>
    <w:rsid w:val="00020227"/>
    <w:rsid w:val="000203D1"/>
    <w:rsid w:val="00020505"/>
    <w:rsid w:val="000205AE"/>
    <w:rsid w:val="000218C2"/>
    <w:rsid w:val="00021C0C"/>
    <w:rsid w:val="00022911"/>
    <w:rsid w:val="000238A7"/>
    <w:rsid w:val="00023A58"/>
    <w:rsid w:val="00024297"/>
    <w:rsid w:val="00024BEE"/>
    <w:rsid w:val="00024FDB"/>
    <w:rsid w:val="00025C09"/>
    <w:rsid w:val="00025C9F"/>
    <w:rsid w:val="00026774"/>
    <w:rsid w:val="00027651"/>
    <w:rsid w:val="00030A73"/>
    <w:rsid w:val="00030C63"/>
    <w:rsid w:val="00030F6E"/>
    <w:rsid w:val="00031900"/>
    <w:rsid w:val="00033271"/>
    <w:rsid w:val="00033B05"/>
    <w:rsid w:val="0003432D"/>
    <w:rsid w:val="00034711"/>
    <w:rsid w:val="00034826"/>
    <w:rsid w:val="00034C70"/>
    <w:rsid w:val="00035661"/>
    <w:rsid w:val="00036659"/>
    <w:rsid w:val="00037076"/>
    <w:rsid w:val="00037AFD"/>
    <w:rsid w:val="00037B02"/>
    <w:rsid w:val="00037B69"/>
    <w:rsid w:val="00040382"/>
    <w:rsid w:val="00040819"/>
    <w:rsid w:val="00040C24"/>
    <w:rsid w:val="00042624"/>
    <w:rsid w:val="00042734"/>
    <w:rsid w:val="000428F4"/>
    <w:rsid w:val="00043BC2"/>
    <w:rsid w:val="00043E74"/>
    <w:rsid w:val="00045B48"/>
    <w:rsid w:val="000461FC"/>
    <w:rsid w:val="000465C0"/>
    <w:rsid w:val="000467D9"/>
    <w:rsid w:val="00046B33"/>
    <w:rsid w:val="00047258"/>
    <w:rsid w:val="000476AA"/>
    <w:rsid w:val="000477A2"/>
    <w:rsid w:val="00050179"/>
    <w:rsid w:val="00050785"/>
    <w:rsid w:val="00051E9D"/>
    <w:rsid w:val="00054252"/>
    <w:rsid w:val="0005513D"/>
    <w:rsid w:val="0005582E"/>
    <w:rsid w:val="00055BB7"/>
    <w:rsid w:val="0005612F"/>
    <w:rsid w:val="000574CE"/>
    <w:rsid w:val="000578CE"/>
    <w:rsid w:val="000603FD"/>
    <w:rsid w:val="00061E5D"/>
    <w:rsid w:val="000629AF"/>
    <w:rsid w:val="00062D35"/>
    <w:rsid w:val="00062DAE"/>
    <w:rsid w:val="0006392C"/>
    <w:rsid w:val="00063AA3"/>
    <w:rsid w:val="00063E7E"/>
    <w:rsid w:val="000651A0"/>
    <w:rsid w:val="00065A8D"/>
    <w:rsid w:val="00065D44"/>
    <w:rsid w:val="00065D81"/>
    <w:rsid w:val="000666EB"/>
    <w:rsid w:val="00066E25"/>
    <w:rsid w:val="000679E4"/>
    <w:rsid w:val="00067B12"/>
    <w:rsid w:val="00070D1F"/>
    <w:rsid w:val="000719C5"/>
    <w:rsid w:val="00071D2E"/>
    <w:rsid w:val="00072614"/>
    <w:rsid w:val="00072638"/>
    <w:rsid w:val="00073D32"/>
    <w:rsid w:val="000745AB"/>
    <w:rsid w:val="00074D17"/>
    <w:rsid w:val="000774CB"/>
    <w:rsid w:val="0007755D"/>
    <w:rsid w:val="000777D8"/>
    <w:rsid w:val="00077A8E"/>
    <w:rsid w:val="00080002"/>
    <w:rsid w:val="000808B4"/>
    <w:rsid w:val="00080AEF"/>
    <w:rsid w:val="0008120B"/>
    <w:rsid w:val="0008153D"/>
    <w:rsid w:val="000826BC"/>
    <w:rsid w:val="0008290B"/>
    <w:rsid w:val="00082AF4"/>
    <w:rsid w:val="00082EEA"/>
    <w:rsid w:val="00083079"/>
    <w:rsid w:val="00083252"/>
    <w:rsid w:val="00084745"/>
    <w:rsid w:val="00084790"/>
    <w:rsid w:val="0008485C"/>
    <w:rsid w:val="00084F89"/>
    <w:rsid w:val="00085DAD"/>
    <w:rsid w:val="00087DA7"/>
    <w:rsid w:val="0009228E"/>
    <w:rsid w:val="000923B3"/>
    <w:rsid w:val="00092F6F"/>
    <w:rsid w:val="000938CC"/>
    <w:rsid w:val="00093C1F"/>
    <w:rsid w:val="00094D1E"/>
    <w:rsid w:val="000953A7"/>
    <w:rsid w:val="00096423"/>
    <w:rsid w:val="000966C8"/>
    <w:rsid w:val="00096956"/>
    <w:rsid w:val="0009736B"/>
    <w:rsid w:val="00097859"/>
    <w:rsid w:val="000A05B4"/>
    <w:rsid w:val="000A0781"/>
    <w:rsid w:val="000A14AF"/>
    <w:rsid w:val="000A1651"/>
    <w:rsid w:val="000A2094"/>
    <w:rsid w:val="000A291E"/>
    <w:rsid w:val="000A2D09"/>
    <w:rsid w:val="000A2E8B"/>
    <w:rsid w:val="000A4931"/>
    <w:rsid w:val="000A4D04"/>
    <w:rsid w:val="000A5A65"/>
    <w:rsid w:val="000A6573"/>
    <w:rsid w:val="000A7B48"/>
    <w:rsid w:val="000A7C4C"/>
    <w:rsid w:val="000B0889"/>
    <w:rsid w:val="000B0E61"/>
    <w:rsid w:val="000B0E81"/>
    <w:rsid w:val="000B139B"/>
    <w:rsid w:val="000B1863"/>
    <w:rsid w:val="000B1FDB"/>
    <w:rsid w:val="000B2086"/>
    <w:rsid w:val="000B20E8"/>
    <w:rsid w:val="000B2917"/>
    <w:rsid w:val="000B37C1"/>
    <w:rsid w:val="000B404F"/>
    <w:rsid w:val="000B4BAA"/>
    <w:rsid w:val="000B5586"/>
    <w:rsid w:val="000B668A"/>
    <w:rsid w:val="000C043C"/>
    <w:rsid w:val="000C0F49"/>
    <w:rsid w:val="000C10C1"/>
    <w:rsid w:val="000C2122"/>
    <w:rsid w:val="000C2635"/>
    <w:rsid w:val="000C2825"/>
    <w:rsid w:val="000C2A94"/>
    <w:rsid w:val="000C33B6"/>
    <w:rsid w:val="000C3535"/>
    <w:rsid w:val="000C45DC"/>
    <w:rsid w:val="000C5052"/>
    <w:rsid w:val="000C5910"/>
    <w:rsid w:val="000C5AAD"/>
    <w:rsid w:val="000C6D84"/>
    <w:rsid w:val="000C7289"/>
    <w:rsid w:val="000D0688"/>
    <w:rsid w:val="000D06F8"/>
    <w:rsid w:val="000D0967"/>
    <w:rsid w:val="000D0F80"/>
    <w:rsid w:val="000D1208"/>
    <w:rsid w:val="000D1A20"/>
    <w:rsid w:val="000D20A5"/>
    <w:rsid w:val="000D2B22"/>
    <w:rsid w:val="000D3183"/>
    <w:rsid w:val="000D3C86"/>
    <w:rsid w:val="000D3D6E"/>
    <w:rsid w:val="000D4B00"/>
    <w:rsid w:val="000D52F4"/>
    <w:rsid w:val="000D5305"/>
    <w:rsid w:val="000D583B"/>
    <w:rsid w:val="000D5D3C"/>
    <w:rsid w:val="000D5D46"/>
    <w:rsid w:val="000D633B"/>
    <w:rsid w:val="000D673E"/>
    <w:rsid w:val="000D7644"/>
    <w:rsid w:val="000E2651"/>
    <w:rsid w:val="000E2916"/>
    <w:rsid w:val="000E33AA"/>
    <w:rsid w:val="000E412C"/>
    <w:rsid w:val="000E512C"/>
    <w:rsid w:val="000E5550"/>
    <w:rsid w:val="000E57D4"/>
    <w:rsid w:val="000E7DAE"/>
    <w:rsid w:val="000E7E00"/>
    <w:rsid w:val="000F045F"/>
    <w:rsid w:val="000F0659"/>
    <w:rsid w:val="000F0BD3"/>
    <w:rsid w:val="000F0DD9"/>
    <w:rsid w:val="000F1077"/>
    <w:rsid w:val="000F14A3"/>
    <w:rsid w:val="000F2A71"/>
    <w:rsid w:val="000F3F9F"/>
    <w:rsid w:val="000F44AC"/>
    <w:rsid w:val="000F5AE3"/>
    <w:rsid w:val="000F6B14"/>
    <w:rsid w:val="000F7B9D"/>
    <w:rsid w:val="00100222"/>
    <w:rsid w:val="0010068F"/>
    <w:rsid w:val="00100909"/>
    <w:rsid w:val="001028E8"/>
    <w:rsid w:val="00103665"/>
    <w:rsid w:val="00103986"/>
    <w:rsid w:val="00103EFA"/>
    <w:rsid w:val="00104899"/>
    <w:rsid w:val="00104B4D"/>
    <w:rsid w:val="00104D27"/>
    <w:rsid w:val="00104D5D"/>
    <w:rsid w:val="00106B14"/>
    <w:rsid w:val="00107135"/>
    <w:rsid w:val="001075D1"/>
    <w:rsid w:val="001077B2"/>
    <w:rsid w:val="00107952"/>
    <w:rsid w:val="001105BB"/>
    <w:rsid w:val="00110CFB"/>
    <w:rsid w:val="00111756"/>
    <w:rsid w:val="00111830"/>
    <w:rsid w:val="00112178"/>
    <w:rsid w:val="001122EF"/>
    <w:rsid w:val="00112E13"/>
    <w:rsid w:val="0011358E"/>
    <w:rsid w:val="0011375F"/>
    <w:rsid w:val="00113F6D"/>
    <w:rsid w:val="00115816"/>
    <w:rsid w:val="00116371"/>
    <w:rsid w:val="00116DF4"/>
    <w:rsid w:val="001172B1"/>
    <w:rsid w:val="001178CE"/>
    <w:rsid w:val="00117B77"/>
    <w:rsid w:val="00120478"/>
    <w:rsid w:val="001204E7"/>
    <w:rsid w:val="0012094F"/>
    <w:rsid w:val="00120F8A"/>
    <w:rsid w:val="0012171C"/>
    <w:rsid w:val="00121C5D"/>
    <w:rsid w:val="00121D98"/>
    <w:rsid w:val="00121EB2"/>
    <w:rsid w:val="0012459E"/>
    <w:rsid w:val="0012487B"/>
    <w:rsid w:val="0012495A"/>
    <w:rsid w:val="00124A37"/>
    <w:rsid w:val="00124D41"/>
    <w:rsid w:val="0012633F"/>
    <w:rsid w:val="00127D29"/>
    <w:rsid w:val="00127E2F"/>
    <w:rsid w:val="00130AB3"/>
    <w:rsid w:val="00130F90"/>
    <w:rsid w:val="001312B7"/>
    <w:rsid w:val="00131EB1"/>
    <w:rsid w:val="00133FC8"/>
    <w:rsid w:val="00134539"/>
    <w:rsid w:val="00134EFA"/>
    <w:rsid w:val="00136321"/>
    <w:rsid w:val="001367F0"/>
    <w:rsid w:val="0013688B"/>
    <w:rsid w:val="001373E7"/>
    <w:rsid w:val="0014034F"/>
    <w:rsid w:val="0014059F"/>
    <w:rsid w:val="00140AE1"/>
    <w:rsid w:val="00140D33"/>
    <w:rsid w:val="00140EAA"/>
    <w:rsid w:val="00141BCD"/>
    <w:rsid w:val="00142377"/>
    <w:rsid w:val="00142DD8"/>
    <w:rsid w:val="00143530"/>
    <w:rsid w:val="00144307"/>
    <w:rsid w:val="00144390"/>
    <w:rsid w:val="00144661"/>
    <w:rsid w:val="0014593C"/>
    <w:rsid w:val="001464FA"/>
    <w:rsid w:val="00146B9F"/>
    <w:rsid w:val="00146F69"/>
    <w:rsid w:val="00147993"/>
    <w:rsid w:val="001479FA"/>
    <w:rsid w:val="00150015"/>
    <w:rsid w:val="001505B0"/>
    <w:rsid w:val="00150777"/>
    <w:rsid w:val="00150830"/>
    <w:rsid w:val="00150847"/>
    <w:rsid w:val="001512BD"/>
    <w:rsid w:val="00151452"/>
    <w:rsid w:val="00151D54"/>
    <w:rsid w:val="00151FBA"/>
    <w:rsid w:val="00152DC3"/>
    <w:rsid w:val="00153082"/>
    <w:rsid w:val="0015328D"/>
    <w:rsid w:val="001535F3"/>
    <w:rsid w:val="00153747"/>
    <w:rsid w:val="00153785"/>
    <w:rsid w:val="001552BA"/>
    <w:rsid w:val="00155C1D"/>
    <w:rsid w:val="00156447"/>
    <w:rsid w:val="001565D8"/>
    <w:rsid w:val="00157A11"/>
    <w:rsid w:val="001617B4"/>
    <w:rsid w:val="001618EF"/>
    <w:rsid w:val="0016230C"/>
    <w:rsid w:val="001625FD"/>
    <w:rsid w:val="001627CC"/>
    <w:rsid w:val="00162E96"/>
    <w:rsid w:val="00162F92"/>
    <w:rsid w:val="00163063"/>
    <w:rsid w:val="00165114"/>
    <w:rsid w:val="001654A6"/>
    <w:rsid w:val="00165A47"/>
    <w:rsid w:val="00165C66"/>
    <w:rsid w:val="00165CCD"/>
    <w:rsid w:val="0016706E"/>
    <w:rsid w:val="00167973"/>
    <w:rsid w:val="00170496"/>
    <w:rsid w:val="00170E92"/>
    <w:rsid w:val="00172613"/>
    <w:rsid w:val="001726D7"/>
    <w:rsid w:val="00172AAD"/>
    <w:rsid w:val="00172AD9"/>
    <w:rsid w:val="00173AA8"/>
    <w:rsid w:val="00173E45"/>
    <w:rsid w:val="00174017"/>
    <w:rsid w:val="00174269"/>
    <w:rsid w:val="00174487"/>
    <w:rsid w:val="00174E01"/>
    <w:rsid w:val="001756BB"/>
    <w:rsid w:val="001763F9"/>
    <w:rsid w:val="00176C5F"/>
    <w:rsid w:val="00176F94"/>
    <w:rsid w:val="001801BF"/>
    <w:rsid w:val="00180A13"/>
    <w:rsid w:val="00181037"/>
    <w:rsid w:val="00182605"/>
    <w:rsid w:val="001832C2"/>
    <w:rsid w:val="001835CC"/>
    <w:rsid w:val="00183611"/>
    <w:rsid w:val="00183FCA"/>
    <w:rsid w:val="0018445A"/>
    <w:rsid w:val="00184589"/>
    <w:rsid w:val="00184A64"/>
    <w:rsid w:val="00184B3F"/>
    <w:rsid w:val="001863C5"/>
    <w:rsid w:val="0018767C"/>
    <w:rsid w:val="00187C8D"/>
    <w:rsid w:val="00190338"/>
    <w:rsid w:val="001905AF"/>
    <w:rsid w:val="00192058"/>
    <w:rsid w:val="0019214B"/>
    <w:rsid w:val="0019270B"/>
    <w:rsid w:val="00192EBF"/>
    <w:rsid w:val="0019316C"/>
    <w:rsid w:val="001939C3"/>
    <w:rsid w:val="00193BD5"/>
    <w:rsid w:val="00194CC9"/>
    <w:rsid w:val="00194E15"/>
    <w:rsid w:val="00194F2D"/>
    <w:rsid w:val="001957CD"/>
    <w:rsid w:val="00195B3C"/>
    <w:rsid w:val="00195F51"/>
    <w:rsid w:val="00196E1B"/>
    <w:rsid w:val="0019710C"/>
    <w:rsid w:val="00197755"/>
    <w:rsid w:val="00197A9B"/>
    <w:rsid w:val="00197A9D"/>
    <w:rsid w:val="001A021A"/>
    <w:rsid w:val="001A111F"/>
    <w:rsid w:val="001A280A"/>
    <w:rsid w:val="001A2B36"/>
    <w:rsid w:val="001A306D"/>
    <w:rsid w:val="001A3128"/>
    <w:rsid w:val="001A3611"/>
    <w:rsid w:val="001A4502"/>
    <w:rsid w:val="001A4F46"/>
    <w:rsid w:val="001A5B15"/>
    <w:rsid w:val="001A5CCF"/>
    <w:rsid w:val="001A5ECC"/>
    <w:rsid w:val="001A6B9C"/>
    <w:rsid w:val="001A76BF"/>
    <w:rsid w:val="001B0834"/>
    <w:rsid w:val="001B0E0F"/>
    <w:rsid w:val="001B1064"/>
    <w:rsid w:val="001B1468"/>
    <w:rsid w:val="001B2E87"/>
    <w:rsid w:val="001B30C2"/>
    <w:rsid w:val="001B3FB6"/>
    <w:rsid w:val="001B4D04"/>
    <w:rsid w:val="001B4FB7"/>
    <w:rsid w:val="001B566C"/>
    <w:rsid w:val="001B5B34"/>
    <w:rsid w:val="001B6F3B"/>
    <w:rsid w:val="001B7B3B"/>
    <w:rsid w:val="001C04EF"/>
    <w:rsid w:val="001C0746"/>
    <w:rsid w:val="001C091D"/>
    <w:rsid w:val="001C0B2F"/>
    <w:rsid w:val="001C10E8"/>
    <w:rsid w:val="001C1ACF"/>
    <w:rsid w:val="001C1CD2"/>
    <w:rsid w:val="001C1F60"/>
    <w:rsid w:val="001C2616"/>
    <w:rsid w:val="001C37BC"/>
    <w:rsid w:val="001C41EE"/>
    <w:rsid w:val="001C47D7"/>
    <w:rsid w:val="001C4DE2"/>
    <w:rsid w:val="001C64A9"/>
    <w:rsid w:val="001C6554"/>
    <w:rsid w:val="001C66D0"/>
    <w:rsid w:val="001C6BBE"/>
    <w:rsid w:val="001C748E"/>
    <w:rsid w:val="001C7C24"/>
    <w:rsid w:val="001C7EF2"/>
    <w:rsid w:val="001D0600"/>
    <w:rsid w:val="001D1E49"/>
    <w:rsid w:val="001D1E8D"/>
    <w:rsid w:val="001D1FBB"/>
    <w:rsid w:val="001D29E2"/>
    <w:rsid w:val="001D3B11"/>
    <w:rsid w:val="001D41F2"/>
    <w:rsid w:val="001D4D6E"/>
    <w:rsid w:val="001D6612"/>
    <w:rsid w:val="001D73FC"/>
    <w:rsid w:val="001D7999"/>
    <w:rsid w:val="001E070F"/>
    <w:rsid w:val="001E0D33"/>
    <w:rsid w:val="001E1D6D"/>
    <w:rsid w:val="001E1DEF"/>
    <w:rsid w:val="001E27A3"/>
    <w:rsid w:val="001E2D4D"/>
    <w:rsid w:val="001E31F6"/>
    <w:rsid w:val="001E39F7"/>
    <w:rsid w:val="001E409D"/>
    <w:rsid w:val="001E4114"/>
    <w:rsid w:val="001E487A"/>
    <w:rsid w:val="001E4BF2"/>
    <w:rsid w:val="001E4C34"/>
    <w:rsid w:val="001E58AF"/>
    <w:rsid w:val="001E5924"/>
    <w:rsid w:val="001E6297"/>
    <w:rsid w:val="001E6A78"/>
    <w:rsid w:val="001E7855"/>
    <w:rsid w:val="001F0435"/>
    <w:rsid w:val="001F0DCB"/>
    <w:rsid w:val="001F2EE6"/>
    <w:rsid w:val="001F2F12"/>
    <w:rsid w:val="001F38C3"/>
    <w:rsid w:val="001F397D"/>
    <w:rsid w:val="001F46FB"/>
    <w:rsid w:val="001F487F"/>
    <w:rsid w:val="001F4E3F"/>
    <w:rsid w:val="001F52BB"/>
    <w:rsid w:val="001F53A5"/>
    <w:rsid w:val="001F5CA1"/>
    <w:rsid w:val="001F63F1"/>
    <w:rsid w:val="001F6795"/>
    <w:rsid w:val="001F6957"/>
    <w:rsid w:val="001F72E9"/>
    <w:rsid w:val="001F7FBF"/>
    <w:rsid w:val="00200084"/>
    <w:rsid w:val="00200B06"/>
    <w:rsid w:val="0020281C"/>
    <w:rsid w:val="00202EE4"/>
    <w:rsid w:val="00202F8F"/>
    <w:rsid w:val="002038B7"/>
    <w:rsid w:val="002039A1"/>
    <w:rsid w:val="0020430D"/>
    <w:rsid w:val="002047D4"/>
    <w:rsid w:val="00206118"/>
    <w:rsid w:val="0020616D"/>
    <w:rsid w:val="002066CD"/>
    <w:rsid w:val="00206D0A"/>
    <w:rsid w:val="0020740B"/>
    <w:rsid w:val="00210555"/>
    <w:rsid w:val="002107F6"/>
    <w:rsid w:val="002110C0"/>
    <w:rsid w:val="0021115E"/>
    <w:rsid w:val="002136D6"/>
    <w:rsid w:val="00213E4B"/>
    <w:rsid w:val="00213EF1"/>
    <w:rsid w:val="00214027"/>
    <w:rsid w:val="0021413A"/>
    <w:rsid w:val="00214497"/>
    <w:rsid w:val="00214B1B"/>
    <w:rsid w:val="0021500D"/>
    <w:rsid w:val="0021592C"/>
    <w:rsid w:val="00215AFE"/>
    <w:rsid w:val="00215DCD"/>
    <w:rsid w:val="00216066"/>
    <w:rsid w:val="00216549"/>
    <w:rsid w:val="00216B6E"/>
    <w:rsid w:val="00216DD1"/>
    <w:rsid w:val="002170C8"/>
    <w:rsid w:val="002177E3"/>
    <w:rsid w:val="002178B9"/>
    <w:rsid w:val="00217DA4"/>
    <w:rsid w:val="00220813"/>
    <w:rsid w:val="00221312"/>
    <w:rsid w:val="00221A16"/>
    <w:rsid w:val="00222038"/>
    <w:rsid w:val="002232F7"/>
    <w:rsid w:val="0022346C"/>
    <w:rsid w:val="00223AC1"/>
    <w:rsid w:val="00223B8F"/>
    <w:rsid w:val="00223D74"/>
    <w:rsid w:val="00224394"/>
    <w:rsid w:val="00224D8A"/>
    <w:rsid w:val="00224F33"/>
    <w:rsid w:val="00230527"/>
    <w:rsid w:val="002306C3"/>
    <w:rsid w:val="00231865"/>
    <w:rsid w:val="00231D14"/>
    <w:rsid w:val="00231E5B"/>
    <w:rsid w:val="00231EF2"/>
    <w:rsid w:val="002320CD"/>
    <w:rsid w:val="002324EE"/>
    <w:rsid w:val="00233EA1"/>
    <w:rsid w:val="00234238"/>
    <w:rsid w:val="00236531"/>
    <w:rsid w:val="002370F4"/>
    <w:rsid w:val="0023715C"/>
    <w:rsid w:val="00237C8B"/>
    <w:rsid w:val="0024009D"/>
    <w:rsid w:val="00241109"/>
    <w:rsid w:val="00243B56"/>
    <w:rsid w:val="0024478E"/>
    <w:rsid w:val="00244EE9"/>
    <w:rsid w:val="00245063"/>
    <w:rsid w:val="0024507F"/>
    <w:rsid w:val="00245A6B"/>
    <w:rsid w:val="00245CD5"/>
    <w:rsid w:val="00246135"/>
    <w:rsid w:val="00246858"/>
    <w:rsid w:val="00247057"/>
    <w:rsid w:val="00247570"/>
    <w:rsid w:val="002478A0"/>
    <w:rsid w:val="00247D94"/>
    <w:rsid w:val="00247FD6"/>
    <w:rsid w:val="002503BC"/>
    <w:rsid w:val="00250C7F"/>
    <w:rsid w:val="00251528"/>
    <w:rsid w:val="002515A9"/>
    <w:rsid w:val="00251B7B"/>
    <w:rsid w:val="00251F45"/>
    <w:rsid w:val="002523F4"/>
    <w:rsid w:val="00253E60"/>
    <w:rsid w:val="0025400E"/>
    <w:rsid w:val="0025408C"/>
    <w:rsid w:val="00254A94"/>
    <w:rsid w:val="00254B18"/>
    <w:rsid w:val="00256474"/>
    <w:rsid w:val="002572BC"/>
    <w:rsid w:val="00257D17"/>
    <w:rsid w:val="00260D73"/>
    <w:rsid w:val="0026164C"/>
    <w:rsid w:val="00261A0A"/>
    <w:rsid w:val="00262438"/>
    <w:rsid w:val="0026340A"/>
    <w:rsid w:val="00263593"/>
    <w:rsid w:val="00265C57"/>
    <w:rsid w:val="002664CC"/>
    <w:rsid w:val="00266527"/>
    <w:rsid w:val="00266574"/>
    <w:rsid w:val="00266624"/>
    <w:rsid w:val="00266779"/>
    <w:rsid w:val="00266859"/>
    <w:rsid w:val="00267801"/>
    <w:rsid w:val="002678EA"/>
    <w:rsid w:val="00267B2C"/>
    <w:rsid w:val="002701CC"/>
    <w:rsid w:val="002703D3"/>
    <w:rsid w:val="002716D6"/>
    <w:rsid w:val="00271712"/>
    <w:rsid w:val="00271A21"/>
    <w:rsid w:val="00272092"/>
    <w:rsid w:val="002729D6"/>
    <w:rsid w:val="00272D90"/>
    <w:rsid w:val="002745CC"/>
    <w:rsid w:val="00274BE4"/>
    <w:rsid w:val="00274CB8"/>
    <w:rsid w:val="00274D2F"/>
    <w:rsid w:val="00275730"/>
    <w:rsid w:val="00276064"/>
    <w:rsid w:val="00276660"/>
    <w:rsid w:val="00276DE9"/>
    <w:rsid w:val="00276F7F"/>
    <w:rsid w:val="00277409"/>
    <w:rsid w:val="00277783"/>
    <w:rsid w:val="002805B1"/>
    <w:rsid w:val="002806DD"/>
    <w:rsid w:val="00280A74"/>
    <w:rsid w:val="002811FF"/>
    <w:rsid w:val="00281597"/>
    <w:rsid w:val="00281AF7"/>
    <w:rsid w:val="002822B6"/>
    <w:rsid w:val="002835E9"/>
    <w:rsid w:val="0028481E"/>
    <w:rsid w:val="0028489B"/>
    <w:rsid w:val="002852CD"/>
    <w:rsid w:val="00285FBC"/>
    <w:rsid w:val="00286786"/>
    <w:rsid w:val="00286B90"/>
    <w:rsid w:val="00286FC5"/>
    <w:rsid w:val="00287485"/>
    <w:rsid w:val="00290535"/>
    <w:rsid w:val="002906CC"/>
    <w:rsid w:val="00290D07"/>
    <w:rsid w:val="002913BA"/>
    <w:rsid w:val="002916D8"/>
    <w:rsid w:val="00292471"/>
    <w:rsid w:val="00292BD3"/>
    <w:rsid w:val="00293D63"/>
    <w:rsid w:val="00293EE6"/>
    <w:rsid w:val="00295266"/>
    <w:rsid w:val="002958C7"/>
    <w:rsid w:val="0029662D"/>
    <w:rsid w:val="00296D6E"/>
    <w:rsid w:val="0029713B"/>
    <w:rsid w:val="00297479"/>
    <w:rsid w:val="00297766"/>
    <w:rsid w:val="002979E6"/>
    <w:rsid w:val="002A048E"/>
    <w:rsid w:val="002A066E"/>
    <w:rsid w:val="002A0A2D"/>
    <w:rsid w:val="002A11A7"/>
    <w:rsid w:val="002A1A59"/>
    <w:rsid w:val="002A29D2"/>
    <w:rsid w:val="002A31A6"/>
    <w:rsid w:val="002A36B6"/>
    <w:rsid w:val="002A3905"/>
    <w:rsid w:val="002A40CA"/>
    <w:rsid w:val="002A47A5"/>
    <w:rsid w:val="002A4AFD"/>
    <w:rsid w:val="002A4C0E"/>
    <w:rsid w:val="002A7AC1"/>
    <w:rsid w:val="002B0002"/>
    <w:rsid w:val="002B0137"/>
    <w:rsid w:val="002B0736"/>
    <w:rsid w:val="002B08DA"/>
    <w:rsid w:val="002B131C"/>
    <w:rsid w:val="002B2F1A"/>
    <w:rsid w:val="002B3260"/>
    <w:rsid w:val="002B443F"/>
    <w:rsid w:val="002B45D5"/>
    <w:rsid w:val="002B4B93"/>
    <w:rsid w:val="002B4C11"/>
    <w:rsid w:val="002B4E37"/>
    <w:rsid w:val="002B58A5"/>
    <w:rsid w:val="002B5F90"/>
    <w:rsid w:val="002B613F"/>
    <w:rsid w:val="002B689D"/>
    <w:rsid w:val="002B7726"/>
    <w:rsid w:val="002C09F0"/>
    <w:rsid w:val="002C2731"/>
    <w:rsid w:val="002C299C"/>
    <w:rsid w:val="002C2BF7"/>
    <w:rsid w:val="002C3155"/>
    <w:rsid w:val="002C5017"/>
    <w:rsid w:val="002C549F"/>
    <w:rsid w:val="002C5585"/>
    <w:rsid w:val="002C635A"/>
    <w:rsid w:val="002C7220"/>
    <w:rsid w:val="002D13CA"/>
    <w:rsid w:val="002D179C"/>
    <w:rsid w:val="002D1A84"/>
    <w:rsid w:val="002D1D72"/>
    <w:rsid w:val="002D1FCF"/>
    <w:rsid w:val="002D2211"/>
    <w:rsid w:val="002D27FF"/>
    <w:rsid w:val="002D3A4E"/>
    <w:rsid w:val="002D3B8E"/>
    <w:rsid w:val="002D4AED"/>
    <w:rsid w:val="002D4BA6"/>
    <w:rsid w:val="002D4D72"/>
    <w:rsid w:val="002D4F05"/>
    <w:rsid w:val="002D4F88"/>
    <w:rsid w:val="002D5ABF"/>
    <w:rsid w:val="002D6FA9"/>
    <w:rsid w:val="002D7EDC"/>
    <w:rsid w:val="002E08AB"/>
    <w:rsid w:val="002E153B"/>
    <w:rsid w:val="002E16C1"/>
    <w:rsid w:val="002E2550"/>
    <w:rsid w:val="002E4388"/>
    <w:rsid w:val="002E4A74"/>
    <w:rsid w:val="002E58F2"/>
    <w:rsid w:val="002E5E7F"/>
    <w:rsid w:val="002E68EB"/>
    <w:rsid w:val="002E6BEE"/>
    <w:rsid w:val="002E767F"/>
    <w:rsid w:val="002E7A95"/>
    <w:rsid w:val="002F12D1"/>
    <w:rsid w:val="002F17C6"/>
    <w:rsid w:val="002F2286"/>
    <w:rsid w:val="002F2522"/>
    <w:rsid w:val="002F30CE"/>
    <w:rsid w:val="002F34D4"/>
    <w:rsid w:val="002F354F"/>
    <w:rsid w:val="002F369F"/>
    <w:rsid w:val="002F463B"/>
    <w:rsid w:val="002F474A"/>
    <w:rsid w:val="002F6402"/>
    <w:rsid w:val="002F6A17"/>
    <w:rsid w:val="002F6B3D"/>
    <w:rsid w:val="002F75D8"/>
    <w:rsid w:val="002F7F74"/>
    <w:rsid w:val="00300ECF"/>
    <w:rsid w:val="003011F5"/>
    <w:rsid w:val="003016B4"/>
    <w:rsid w:val="00302587"/>
    <w:rsid w:val="00302A6F"/>
    <w:rsid w:val="00303908"/>
    <w:rsid w:val="00303AA3"/>
    <w:rsid w:val="003041E7"/>
    <w:rsid w:val="00304787"/>
    <w:rsid w:val="003048B3"/>
    <w:rsid w:val="00306B3F"/>
    <w:rsid w:val="00307389"/>
    <w:rsid w:val="003076F3"/>
    <w:rsid w:val="00310016"/>
    <w:rsid w:val="003103B2"/>
    <w:rsid w:val="003106D8"/>
    <w:rsid w:val="00311338"/>
    <w:rsid w:val="003126CE"/>
    <w:rsid w:val="00312865"/>
    <w:rsid w:val="003136B5"/>
    <w:rsid w:val="003137DA"/>
    <w:rsid w:val="003138A5"/>
    <w:rsid w:val="00313FA9"/>
    <w:rsid w:val="00315733"/>
    <w:rsid w:val="003158EE"/>
    <w:rsid w:val="00315A66"/>
    <w:rsid w:val="00315A89"/>
    <w:rsid w:val="00316D26"/>
    <w:rsid w:val="003175A2"/>
    <w:rsid w:val="00320296"/>
    <w:rsid w:val="003211A6"/>
    <w:rsid w:val="00321AE9"/>
    <w:rsid w:val="0032226C"/>
    <w:rsid w:val="0032314D"/>
    <w:rsid w:val="003238BA"/>
    <w:rsid w:val="003239A6"/>
    <w:rsid w:val="00323FD6"/>
    <w:rsid w:val="00324185"/>
    <w:rsid w:val="00324C34"/>
    <w:rsid w:val="003250B9"/>
    <w:rsid w:val="00325E8B"/>
    <w:rsid w:val="003266D3"/>
    <w:rsid w:val="0032714D"/>
    <w:rsid w:val="00330247"/>
    <w:rsid w:val="0033070B"/>
    <w:rsid w:val="00331797"/>
    <w:rsid w:val="003321E7"/>
    <w:rsid w:val="003325E3"/>
    <w:rsid w:val="0033289C"/>
    <w:rsid w:val="00332D2F"/>
    <w:rsid w:val="00333231"/>
    <w:rsid w:val="00333347"/>
    <w:rsid w:val="00333596"/>
    <w:rsid w:val="00334171"/>
    <w:rsid w:val="003342A0"/>
    <w:rsid w:val="003345E7"/>
    <w:rsid w:val="00334C6F"/>
    <w:rsid w:val="003350E3"/>
    <w:rsid w:val="00335967"/>
    <w:rsid w:val="00336DAE"/>
    <w:rsid w:val="00336EAD"/>
    <w:rsid w:val="003375AD"/>
    <w:rsid w:val="00337BCD"/>
    <w:rsid w:val="00337C0E"/>
    <w:rsid w:val="00337DED"/>
    <w:rsid w:val="00340889"/>
    <w:rsid w:val="003408C8"/>
    <w:rsid w:val="00341678"/>
    <w:rsid w:val="0034267D"/>
    <w:rsid w:val="00342970"/>
    <w:rsid w:val="00342C3C"/>
    <w:rsid w:val="00342F42"/>
    <w:rsid w:val="00343C5D"/>
    <w:rsid w:val="00343F4A"/>
    <w:rsid w:val="00343FDA"/>
    <w:rsid w:val="0034526A"/>
    <w:rsid w:val="0034592C"/>
    <w:rsid w:val="003465F1"/>
    <w:rsid w:val="0034693B"/>
    <w:rsid w:val="00347181"/>
    <w:rsid w:val="00347CBF"/>
    <w:rsid w:val="00350417"/>
    <w:rsid w:val="00350F8E"/>
    <w:rsid w:val="003514F3"/>
    <w:rsid w:val="0035162B"/>
    <w:rsid w:val="0035194C"/>
    <w:rsid w:val="00351BE1"/>
    <w:rsid w:val="00351D92"/>
    <w:rsid w:val="00352B8C"/>
    <w:rsid w:val="00353661"/>
    <w:rsid w:val="00353B25"/>
    <w:rsid w:val="00355722"/>
    <w:rsid w:val="003557A7"/>
    <w:rsid w:val="00355985"/>
    <w:rsid w:val="00355CC6"/>
    <w:rsid w:val="00356167"/>
    <w:rsid w:val="0035625F"/>
    <w:rsid w:val="0036110B"/>
    <w:rsid w:val="00361173"/>
    <w:rsid w:val="003614CA"/>
    <w:rsid w:val="00361680"/>
    <w:rsid w:val="003621B9"/>
    <w:rsid w:val="00362A0A"/>
    <w:rsid w:val="00362ED1"/>
    <w:rsid w:val="00363235"/>
    <w:rsid w:val="00363356"/>
    <w:rsid w:val="003642BA"/>
    <w:rsid w:val="003643B6"/>
    <w:rsid w:val="003644BF"/>
    <w:rsid w:val="00365304"/>
    <w:rsid w:val="00365438"/>
    <w:rsid w:val="00366707"/>
    <w:rsid w:val="00367155"/>
    <w:rsid w:val="00367427"/>
    <w:rsid w:val="00367485"/>
    <w:rsid w:val="00367CDF"/>
    <w:rsid w:val="00370144"/>
    <w:rsid w:val="00370D0E"/>
    <w:rsid w:val="00370E63"/>
    <w:rsid w:val="00371299"/>
    <w:rsid w:val="0037150B"/>
    <w:rsid w:val="00371850"/>
    <w:rsid w:val="00371932"/>
    <w:rsid w:val="00371D13"/>
    <w:rsid w:val="00372147"/>
    <w:rsid w:val="0037333D"/>
    <w:rsid w:val="00374BAB"/>
    <w:rsid w:val="00376A6C"/>
    <w:rsid w:val="00376DBD"/>
    <w:rsid w:val="0037751F"/>
    <w:rsid w:val="003779F8"/>
    <w:rsid w:val="00377B88"/>
    <w:rsid w:val="00377C6C"/>
    <w:rsid w:val="00377E4C"/>
    <w:rsid w:val="00381E0D"/>
    <w:rsid w:val="00382893"/>
    <w:rsid w:val="00383477"/>
    <w:rsid w:val="0038585D"/>
    <w:rsid w:val="00387C30"/>
    <w:rsid w:val="00387FAC"/>
    <w:rsid w:val="003902CD"/>
    <w:rsid w:val="00390B87"/>
    <w:rsid w:val="00390B8C"/>
    <w:rsid w:val="0039113B"/>
    <w:rsid w:val="0039157E"/>
    <w:rsid w:val="00391692"/>
    <w:rsid w:val="0039256E"/>
    <w:rsid w:val="00392A47"/>
    <w:rsid w:val="00392AB0"/>
    <w:rsid w:val="00392BFB"/>
    <w:rsid w:val="00392D16"/>
    <w:rsid w:val="00393372"/>
    <w:rsid w:val="003946CD"/>
    <w:rsid w:val="0039507E"/>
    <w:rsid w:val="00395624"/>
    <w:rsid w:val="00395FAE"/>
    <w:rsid w:val="00396272"/>
    <w:rsid w:val="00396F6D"/>
    <w:rsid w:val="00397C32"/>
    <w:rsid w:val="003A087E"/>
    <w:rsid w:val="003A1081"/>
    <w:rsid w:val="003A1AA5"/>
    <w:rsid w:val="003A2B7C"/>
    <w:rsid w:val="003A2D95"/>
    <w:rsid w:val="003A3152"/>
    <w:rsid w:val="003A33CD"/>
    <w:rsid w:val="003A3DCA"/>
    <w:rsid w:val="003A4D50"/>
    <w:rsid w:val="003A50C6"/>
    <w:rsid w:val="003A5DFD"/>
    <w:rsid w:val="003A5F3B"/>
    <w:rsid w:val="003A69E2"/>
    <w:rsid w:val="003A6F30"/>
    <w:rsid w:val="003A73E2"/>
    <w:rsid w:val="003B1139"/>
    <w:rsid w:val="003B1936"/>
    <w:rsid w:val="003B1D9B"/>
    <w:rsid w:val="003B249E"/>
    <w:rsid w:val="003B254B"/>
    <w:rsid w:val="003B25D3"/>
    <w:rsid w:val="003B2AB7"/>
    <w:rsid w:val="003B48C8"/>
    <w:rsid w:val="003B4FA0"/>
    <w:rsid w:val="003B521C"/>
    <w:rsid w:val="003B5494"/>
    <w:rsid w:val="003B5707"/>
    <w:rsid w:val="003B5F53"/>
    <w:rsid w:val="003B6443"/>
    <w:rsid w:val="003B69DB"/>
    <w:rsid w:val="003B6C4E"/>
    <w:rsid w:val="003B6D44"/>
    <w:rsid w:val="003B727A"/>
    <w:rsid w:val="003B7318"/>
    <w:rsid w:val="003B7B7C"/>
    <w:rsid w:val="003B7DFC"/>
    <w:rsid w:val="003C1647"/>
    <w:rsid w:val="003C4619"/>
    <w:rsid w:val="003C4A96"/>
    <w:rsid w:val="003C5673"/>
    <w:rsid w:val="003C5973"/>
    <w:rsid w:val="003C5C14"/>
    <w:rsid w:val="003C64C5"/>
    <w:rsid w:val="003C7139"/>
    <w:rsid w:val="003D0255"/>
    <w:rsid w:val="003D043A"/>
    <w:rsid w:val="003D0499"/>
    <w:rsid w:val="003D504E"/>
    <w:rsid w:val="003D51F2"/>
    <w:rsid w:val="003D5981"/>
    <w:rsid w:val="003D5B14"/>
    <w:rsid w:val="003D6071"/>
    <w:rsid w:val="003D6079"/>
    <w:rsid w:val="003D6D71"/>
    <w:rsid w:val="003D7245"/>
    <w:rsid w:val="003D7C40"/>
    <w:rsid w:val="003E0523"/>
    <w:rsid w:val="003E1008"/>
    <w:rsid w:val="003E1501"/>
    <w:rsid w:val="003E3F49"/>
    <w:rsid w:val="003E4236"/>
    <w:rsid w:val="003E4A86"/>
    <w:rsid w:val="003E4F06"/>
    <w:rsid w:val="003E52F5"/>
    <w:rsid w:val="003E5499"/>
    <w:rsid w:val="003E549E"/>
    <w:rsid w:val="003E59FF"/>
    <w:rsid w:val="003E5B37"/>
    <w:rsid w:val="003E6FE2"/>
    <w:rsid w:val="003E704F"/>
    <w:rsid w:val="003E78F5"/>
    <w:rsid w:val="003E7A6D"/>
    <w:rsid w:val="003E7B5B"/>
    <w:rsid w:val="003F04B0"/>
    <w:rsid w:val="003F0EF7"/>
    <w:rsid w:val="003F1325"/>
    <w:rsid w:val="003F1673"/>
    <w:rsid w:val="003F3263"/>
    <w:rsid w:val="003F5394"/>
    <w:rsid w:val="003F54D6"/>
    <w:rsid w:val="003F5593"/>
    <w:rsid w:val="003F6026"/>
    <w:rsid w:val="003F6AB1"/>
    <w:rsid w:val="003F6BD5"/>
    <w:rsid w:val="003F6D4F"/>
    <w:rsid w:val="003F70E3"/>
    <w:rsid w:val="003F72AD"/>
    <w:rsid w:val="004007B1"/>
    <w:rsid w:val="004008B0"/>
    <w:rsid w:val="00400F61"/>
    <w:rsid w:val="0040112C"/>
    <w:rsid w:val="004012FA"/>
    <w:rsid w:val="00402394"/>
    <w:rsid w:val="004023CF"/>
    <w:rsid w:val="0040385A"/>
    <w:rsid w:val="00404A9F"/>
    <w:rsid w:val="00404C2C"/>
    <w:rsid w:val="0040698F"/>
    <w:rsid w:val="00406F35"/>
    <w:rsid w:val="00407516"/>
    <w:rsid w:val="00407F95"/>
    <w:rsid w:val="00411C08"/>
    <w:rsid w:val="00412839"/>
    <w:rsid w:val="00412D64"/>
    <w:rsid w:val="0041320B"/>
    <w:rsid w:val="004133BA"/>
    <w:rsid w:val="004136DA"/>
    <w:rsid w:val="004137D5"/>
    <w:rsid w:val="00413EB0"/>
    <w:rsid w:val="00413FD4"/>
    <w:rsid w:val="004141D6"/>
    <w:rsid w:val="0041484B"/>
    <w:rsid w:val="00415E28"/>
    <w:rsid w:val="00415EFE"/>
    <w:rsid w:val="00417962"/>
    <w:rsid w:val="00417A07"/>
    <w:rsid w:val="00417A13"/>
    <w:rsid w:val="00420739"/>
    <w:rsid w:val="00420810"/>
    <w:rsid w:val="00420E58"/>
    <w:rsid w:val="00421602"/>
    <w:rsid w:val="00421A11"/>
    <w:rsid w:val="00421E98"/>
    <w:rsid w:val="00423728"/>
    <w:rsid w:val="0042380E"/>
    <w:rsid w:val="00423A73"/>
    <w:rsid w:val="004244D7"/>
    <w:rsid w:val="00424573"/>
    <w:rsid w:val="00424974"/>
    <w:rsid w:val="00426BC8"/>
    <w:rsid w:val="00426BC9"/>
    <w:rsid w:val="00426DC4"/>
    <w:rsid w:val="00426F11"/>
    <w:rsid w:val="00427A12"/>
    <w:rsid w:val="00427B9F"/>
    <w:rsid w:val="00433688"/>
    <w:rsid w:val="0043373E"/>
    <w:rsid w:val="00434775"/>
    <w:rsid w:val="00434890"/>
    <w:rsid w:val="00434B3F"/>
    <w:rsid w:val="00434FC9"/>
    <w:rsid w:val="00435750"/>
    <w:rsid w:val="00436D74"/>
    <w:rsid w:val="00436DA6"/>
    <w:rsid w:val="00437D31"/>
    <w:rsid w:val="00440024"/>
    <w:rsid w:val="004414D4"/>
    <w:rsid w:val="004415D8"/>
    <w:rsid w:val="0044254D"/>
    <w:rsid w:val="0044291E"/>
    <w:rsid w:val="0044298B"/>
    <w:rsid w:val="004434AB"/>
    <w:rsid w:val="00443605"/>
    <w:rsid w:val="00443736"/>
    <w:rsid w:val="00443B3B"/>
    <w:rsid w:val="00443BB7"/>
    <w:rsid w:val="00444EC3"/>
    <w:rsid w:val="004451F0"/>
    <w:rsid w:val="00445259"/>
    <w:rsid w:val="00445512"/>
    <w:rsid w:val="00445864"/>
    <w:rsid w:val="00445D3C"/>
    <w:rsid w:val="00445D67"/>
    <w:rsid w:val="0044721D"/>
    <w:rsid w:val="00451B35"/>
    <w:rsid w:val="00452151"/>
    <w:rsid w:val="00452174"/>
    <w:rsid w:val="00452291"/>
    <w:rsid w:val="00452523"/>
    <w:rsid w:val="00452617"/>
    <w:rsid w:val="00452BD9"/>
    <w:rsid w:val="004536BE"/>
    <w:rsid w:val="00453CA4"/>
    <w:rsid w:val="00455C9A"/>
    <w:rsid w:val="00455DE7"/>
    <w:rsid w:val="00456EB2"/>
    <w:rsid w:val="00457435"/>
    <w:rsid w:val="004578EE"/>
    <w:rsid w:val="00457BE6"/>
    <w:rsid w:val="0046072E"/>
    <w:rsid w:val="00461712"/>
    <w:rsid w:val="004633B4"/>
    <w:rsid w:val="00463987"/>
    <w:rsid w:val="004655EF"/>
    <w:rsid w:val="00466BAA"/>
    <w:rsid w:val="00467E70"/>
    <w:rsid w:val="004705C3"/>
    <w:rsid w:val="00470F5C"/>
    <w:rsid w:val="00471AC3"/>
    <w:rsid w:val="00471EE7"/>
    <w:rsid w:val="00472192"/>
    <w:rsid w:val="004725C7"/>
    <w:rsid w:val="0047321D"/>
    <w:rsid w:val="00473D9F"/>
    <w:rsid w:val="00474EDF"/>
    <w:rsid w:val="00475BCA"/>
    <w:rsid w:val="004764EF"/>
    <w:rsid w:val="00476995"/>
    <w:rsid w:val="004771D8"/>
    <w:rsid w:val="004806F3"/>
    <w:rsid w:val="00480DC4"/>
    <w:rsid w:val="00481686"/>
    <w:rsid w:val="0048257E"/>
    <w:rsid w:val="00483739"/>
    <w:rsid w:val="004848FE"/>
    <w:rsid w:val="004849F3"/>
    <w:rsid w:val="004852C9"/>
    <w:rsid w:val="0048708D"/>
    <w:rsid w:val="00487CD3"/>
    <w:rsid w:val="00487F0A"/>
    <w:rsid w:val="00487F33"/>
    <w:rsid w:val="00490B73"/>
    <w:rsid w:val="00491433"/>
    <w:rsid w:val="00491D3C"/>
    <w:rsid w:val="00492303"/>
    <w:rsid w:val="0049270B"/>
    <w:rsid w:val="00492B0A"/>
    <w:rsid w:val="00492E16"/>
    <w:rsid w:val="00493B8F"/>
    <w:rsid w:val="00493F04"/>
    <w:rsid w:val="0049447A"/>
    <w:rsid w:val="004953BC"/>
    <w:rsid w:val="00495CB8"/>
    <w:rsid w:val="00495D50"/>
    <w:rsid w:val="004961B2"/>
    <w:rsid w:val="004966C7"/>
    <w:rsid w:val="004967FC"/>
    <w:rsid w:val="00496B8B"/>
    <w:rsid w:val="00497C7C"/>
    <w:rsid w:val="004A0CAA"/>
    <w:rsid w:val="004A0F8D"/>
    <w:rsid w:val="004A14C9"/>
    <w:rsid w:val="004A35FD"/>
    <w:rsid w:val="004A3B28"/>
    <w:rsid w:val="004A3EBE"/>
    <w:rsid w:val="004A5235"/>
    <w:rsid w:val="004A543C"/>
    <w:rsid w:val="004A5741"/>
    <w:rsid w:val="004A596C"/>
    <w:rsid w:val="004A63AD"/>
    <w:rsid w:val="004A6794"/>
    <w:rsid w:val="004B00B2"/>
    <w:rsid w:val="004B088B"/>
    <w:rsid w:val="004B15E9"/>
    <w:rsid w:val="004B17D9"/>
    <w:rsid w:val="004B1EC5"/>
    <w:rsid w:val="004B2332"/>
    <w:rsid w:val="004B2BA5"/>
    <w:rsid w:val="004B2CD9"/>
    <w:rsid w:val="004B3280"/>
    <w:rsid w:val="004B3B7F"/>
    <w:rsid w:val="004B40B7"/>
    <w:rsid w:val="004B4329"/>
    <w:rsid w:val="004B4D52"/>
    <w:rsid w:val="004B52DE"/>
    <w:rsid w:val="004B5DE2"/>
    <w:rsid w:val="004B6380"/>
    <w:rsid w:val="004B6455"/>
    <w:rsid w:val="004B7496"/>
    <w:rsid w:val="004C07AA"/>
    <w:rsid w:val="004C08B5"/>
    <w:rsid w:val="004C1CDB"/>
    <w:rsid w:val="004C31DC"/>
    <w:rsid w:val="004C3868"/>
    <w:rsid w:val="004C423B"/>
    <w:rsid w:val="004C4286"/>
    <w:rsid w:val="004C446E"/>
    <w:rsid w:val="004C44F0"/>
    <w:rsid w:val="004C4520"/>
    <w:rsid w:val="004C53DD"/>
    <w:rsid w:val="004C5C07"/>
    <w:rsid w:val="004C6149"/>
    <w:rsid w:val="004C6A56"/>
    <w:rsid w:val="004C6C54"/>
    <w:rsid w:val="004C7152"/>
    <w:rsid w:val="004C7283"/>
    <w:rsid w:val="004D08C9"/>
    <w:rsid w:val="004D0B5B"/>
    <w:rsid w:val="004D0E36"/>
    <w:rsid w:val="004D0F9A"/>
    <w:rsid w:val="004D0FA2"/>
    <w:rsid w:val="004D22B5"/>
    <w:rsid w:val="004D2805"/>
    <w:rsid w:val="004D2AFB"/>
    <w:rsid w:val="004D2D7A"/>
    <w:rsid w:val="004D389A"/>
    <w:rsid w:val="004D38E6"/>
    <w:rsid w:val="004D3965"/>
    <w:rsid w:val="004D3D3D"/>
    <w:rsid w:val="004D4386"/>
    <w:rsid w:val="004D4F01"/>
    <w:rsid w:val="004D55F4"/>
    <w:rsid w:val="004D61BA"/>
    <w:rsid w:val="004D6417"/>
    <w:rsid w:val="004D6650"/>
    <w:rsid w:val="004D66CD"/>
    <w:rsid w:val="004D7711"/>
    <w:rsid w:val="004D7A67"/>
    <w:rsid w:val="004E1536"/>
    <w:rsid w:val="004E15ED"/>
    <w:rsid w:val="004E3B5B"/>
    <w:rsid w:val="004E401A"/>
    <w:rsid w:val="004E55FA"/>
    <w:rsid w:val="004E5D16"/>
    <w:rsid w:val="004E5F4A"/>
    <w:rsid w:val="004F0ABF"/>
    <w:rsid w:val="004F4351"/>
    <w:rsid w:val="004F49E6"/>
    <w:rsid w:val="004F4D8C"/>
    <w:rsid w:val="004F5193"/>
    <w:rsid w:val="004F5744"/>
    <w:rsid w:val="004F5DAF"/>
    <w:rsid w:val="004F5FA8"/>
    <w:rsid w:val="004F6047"/>
    <w:rsid w:val="004F710C"/>
    <w:rsid w:val="004F7C0E"/>
    <w:rsid w:val="004F7D5A"/>
    <w:rsid w:val="004F7FAA"/>
    <w:rsid w:val="005002AC"/>
    <w:rsid w:val="00500448"/>
    <w:rsid w:val="0050117D"/>
    <w:rsid w:val="00502EA5"/>
    <w:rsid w:val="00503410"/>
    <w:rsid w:val="0050357C"/>
    <w:rsid w:val="0050374B"/>
    <w:rsid w:val="005038BC"/>
    <w:rsid w:val="00503B91"/>
    <w:rsid w:val="00504907"/>
    <w:rsid w:val="005054E3"/>
    <w:rsid w:val="00505AEC"/>
    <w:rsid w:val="00506052"/>
    <w:rsid w:val="005068DB"/>
    <w:rsid w:val="00506F18"/>
    <w:rsid w:val="00507306"/>
    <w:rsid w:val="00507801"/>
    <w:rsid w:val="00507CD8"/>
    <w:rsid w:val="00510871"/>
    <w:rsid w:val="00510CBE"/>
    <w:rsid w:val="00511638"/>
    <w:rsid w:val="0051239C"/>
    <w:rsid w:val="005124CD"/>
    <w:rsid w:val="00512881"/>
    <w:rsid w:val="00513A37"/>
    <w:rsid w:val="00514915"/>
    <w:rsid w:val="00515062"/>
    <w:rsid w:val="0051606A"/>
    <w:rsid w:val="005163A6"/>
    <w:rsid w:val="00516979"/>
    <w:rsid w:val="00516C03"/>
    <w:rsid w:val="0052055E"/>
    <w:rsid w:val="005220B9"/>
    <w:rsid w:val="0052254F"/>
    <w:rsid w:val="00522A90"/>
    <w:rsid w:val="005233D9"/>
    <w:rsid w:val="0052395D"/>
    <w:rsid w:val="0052417C"/>
    <w:rsid w:val="0052439F"/>
    <w:rsid w:val="00525807"/>
    <w:rsid w:val="00526BDE"/>
    <w:rsid w:val="00527469"/>
    <w:rsid w:val="005314B2"/>
    <w:rsid w:val="00531FC4"/>
    <w:rsid w:val="00532A75"/>
    <w:rsid w:val="00533064"/>
    <w:rsid w:val="005330C8"/>
    <w:rsid w:val="00533545"/>
    <w:rsid w:val="00534CAF"/>
    <w:rsid w:val="00534E8D"/>
    <w:rsid w:val="005354D1"/>
    <w:rsid w:val="00535818"/>
    <w:rsid w:val="00535975"/>
    <w:rsid w:val="00536441"/>
    <w:rsid w:val="00536779"/>
    <w:rsid w:val="005369AB"/>
    <w:rsid w:val="0053747F"/>
    <w:rsid w:val="00537DF3"/>
    <w:rsid w:val="00540FB4"/>
    <w:rsid w:val="00541635"/>
    <w:rsid w:val="00541638"/>
    <w:rsid w:val="00542763"/>
    <w:rsid w:val="00543308"/>
    <w:rsid w:val="00543429"/>
    <w:rsid w:val="00543BF8"/>
    <w:rsid w:val="0054431B"/>
    <w:rsid w:val="005447AB"/>
    <w:rsid w:val="005447D3"/>
    <w:rsid w:val="00545736"/>
    <w:rsid w:val="00545D5B"/>
    <w:rsid w:val="00545ECE"/>
    <w:rsid w:val="00546104"/>
    <w:rsid w:val="00546B9B"/>
    <w:rsid w:val="00546DD8"/>
    <w:rsid w:val="00546F2A"/>
    <w:rsid w:val="00547F10"/>
    <w:rsid w:val="005501C1"/>
    <w:rsid w:val="00550AC6"/>
    <w:rsid w:val="00550BF3"/>
    <w:rsid w:val="00551AD5"/>
    <w:rsid w:val="00551CC4"/>
    <w:rsid w:val="00552218"/>
    <w:rsid w:val="005526EE"/>
    <w:rsid w:val="00552775"/>
    <w:rsid w:val="00552EEB"/>
    <w:rsid w:val="0055341C"/>
    <w:rsid w:val="005539C9"/>
    <w:rsid w:val="00553EAE"/>
    <w:rsid w:val="00554377"/>
    <w:rsid w:val="0055453E"/>
    <w:rsid w:val="00555151"/>
    <w:rsid w:val="005554A1"/>
    <w:rsid w:val="00555916"/>
    <w:rsid w:val="0055620E"/>
    <w:rsid w:val="005562DB"/>
    <w:rsid w:val="00556DCF"/>
    <w:rsid w:val="0055710E"/>
    <w:rsid w:val="00557322"/>
    <w:rsid w:val="0055780A"/>
    <w:rsid w:val="005579D3"/>
    <w:rsid w:val="00557A6C"/>
    <w:rsid w:val="0056053D"/>
    <w:rsid w:val="0056055A"/>
    <w:rsid w:val="0056119C"/>
    <w:rsid w:val="00561D46"/>
    <w:rsid w:val="00561F98"/>
    <w:rsid w:val="00563348"/>
    <w:rsid w:val="00563DFC"/>
    <w:rsid w:val="00564EA5"/>
    <w:rsid w:val="00565568"/>
    <w:rsid w:val="00565C9E"/>
    <w:rsid w:val="00565DF6"/>
    <w:rsid w:val="005702C6"/>
    <w:rsid w:val="005702E9"/>
    <w:rsid w:val="005706C4"/>
    <w:rsid w:val="005707E4"/>
    <w:rsid w:val="005708FC"/>
    <w:rsid w:val="00570B3C"/>
    <w:rsid w:val="00570EAF"/>
    <w:rsid w:val="00571607"/>
    <w:rsid w:val="0057179A"/>
    <w:rsid w:val="0057223B"/>
    <w:rsid w:val="00572D3B"/>
    <w:rsid w:val="005733F0"/>
    <w:rsid w:val="00574809"/>
    <w:rsid w:val="0057480F"/>
    <w:rsid w:val="00574EC3"/>
    <w:rsid w:val="00576478"/>
    <w:rsid w:val="0057680C"/>
    <w:rsid w:val="005770DA"/>
    <w:rsid w:val="005775EB"/>
    <w:rsid w:val="00577ECA"/>
    <w:rsid w:val="005800C7"/>
    <w:rsid w:val="005800DC"/>
    <w:rsid w:val="005802A4"/>
    <w:rsid w:val="0058053B"/>
    <w:rsid w:val="0058065A"/>
    <w:rsid w:val="00580AE1"/>
    <w:rsid w:val="00581A9F"/>
    <w:rsid w:val="00582776"/>
    <w:rsid w:val="00582BFB"/>
    <w:rsid w:val="00582DB4"/>
    <w:rsid w:val="00582FF8"/>
    <w:rsid w:val="00583220"/>
    <w:rsid w:val="00583C9E"/>
    <w:rsid w:val="00583DD8"/>
    <w:rsid w:val="00583ECF"/>
    <w:rsid w:val="00584C39"/>
    <w:rsid w:val="00584C61"/>
    <w:rsid w:val="005851B5"/>
    <w:rsid w:val="005859A1"/>
    <w:rsid w:val="0058669D"/>
    <w:rsid w:val="00586FB1"/>
    <w:rsid w:val="00586FB8"/>
    <w:rsid w:val="00587F13"/>
    <w:rsid w:val="005916CB"/>
    <w:rsid w:val="00591C5D"/>
    <w:rsid w:val="00593885"/>
    <w:rsid w:val="00593B13"/>
    <w:rsid w:val="005942F3"/>
    <w:rsid w:val="0059569F"/>
    <w:rsid w:val="00595851"/>
    <w:rsid w:val="00596728"/>
    <w:rsid w:val="00596966"/>
    <w:rsid w:val="005969C4"/>
    <w:rsid w:val="00597D1A"/>
    <w:rsid w:val="00597DEF"/>
    <w:rsid w:val="005A0023"/>
    <w:rsid w:val="005A0027"/>
    <w:rsid w:val="005A0565"/>
    <w:rsid w:val="005A0D35"/>
    <w:rsid w:val="005A0E35"/>
    <w:rsid w:val="005A256B"/>
    <w:rsid w:val="005A26FD"/>
    <w:rsid w:val="005A35A4"/>
    <w:rsid w:val="005A391A"/>
    <w:rsid w:val="005A3A14"/>
    <w:rsid w:val="005A3AFE"/>
    <w:rsid w:val="005A3E4D"/>
    <w:rsid w:val="005A4688"/>
    <w:rsid w:val="005A46EF"/>
    <w:rsid w:val="005A4966"/>
    <w:rsid w:val="005A4B72"/>
    <w:rsid w:val="005A52D7"/>
    <w:rsid w:val="005A574C"/>
    <w:rsid w:val="005A5913"/>
    <w:rsid w:val="005A7220"/>
    <w:rsid w:val="005B012F"/>
    <w:rsid w:val="005B0E47"/>
    <w:rsid w:val="005B164B"/>
    <w:rsid w:val="005B189D"/>
    <w:rsid w:val="005B20CD"/>
    <w:rsid w:val="005B2390"/>
    <w:rsid w:val="005B2455"/>
    <w:rsid w:val="005B3A7B"/>
    <w:rsid w:val="005B3B5D"/>
    <w:rsid w:val="005B4F24"/>
    <w:rsid w:val="005B6F11"/>
    <w:rsid w:val="005B7E50"/>
    <w:rsid w:val="005C0EEF"/>
    <w:rsid w:val="005C1277"/>
    <w:rsid w:val="005C1FBD"/>
    <w:rsid w:val="005C2464"/>
    <w:rsid w:val="005C24C8"/>
    <w:rsid w:val="005C39C8"/>
    <w:rsid w:val="005C444C"/>
    <w:rsid w:val="005C57B4"/>
    <w:rsid w:val="005C60E1"/>
    <w:rsid w:val="005C6283"/>
    <w:rsid w:val="005C662A"/>
    <w:rsid w:val="005C69D8"/>
    <w:rsid w:val="005C6B25"/>
    <w:rsid w:val="005D01CE"/>
    <w:rsid w:val="005D036E"/>
    <w:rsid w:val="005D0D0F"/>
    <w:rsid w:val="005D0D32"/>
    <w:rsid w:val="005D109C"/>
    <w:rsid w:val="005D170F"/>
    <w:rsid w:val="005D29E8"/>
    <w:rsid w:val="005D2BA4"/>
    <w:rsid w:val="005D2DC8"/>
    <w:rsid w:val="005D36D1"/>
    <w:rsid w:val="005D5AED"/>
    <w:rsid w:val="005D6231"/>
    <w:rsid w:val="005D63D8"/>
    <w:rsid w:val="005D7131"/>
    <w:rsid w:val="005E00B4"/>
    <w:rsid w:val="005E02A2"/>
    <w:rsid w:val="005E0C1F"/>
    <w:rsid w:val="005E11CA"/>
    <w:rsid w:val="005E2065"/>
    <w:rsid w:val="005E256D"/>
    <w:rsid w:val="005E2FC3"/>
    <w:rsid w:val="005E37CA"/>
    <w:rsid w:val="005E3E0D"/>
    <w:rsid w:val="005E486C"/>
    <w:rsid w:val="005E508B"/>
    <w:rsid w:val="005E51BD"/>
    <w:rsid w:val="005E587F"/>
    <w:rsid w:val="005E5ED7"/>
    <w:rsid w:val="005E628C"/>
    <w:rsid w:val="005E6B00"/>
    <w:rsid w:val="005E7609"/>
    <w:rsid w:val="005E7A47"/>
    <w:rsid w:val="005F09B7"/>
    <w:rsid w:val="005F0FE2"/>
    <w:rsid w:val="005F255B"/>
    <w:rsid w:val="005F2CA8"/>
    <w:rsid w:val="005F3169"/>
    <w:rsid w:val="005F3643"/>
    <w:rsid w:val="005F4659"/>
    <w:rsid w:val="005F787C"/>
    <w:rsid w:val="005F7CB0"/>
    <w:rsid w:val="005F7D90"/>
    <w:rsid w:val="00601C05"/>
    <w:rsid w:val="00601C53"/>
    <w:rsid w:val="00602643"/>
    <w:rsid w:val="00602CE7"/>
    <w:rsid w:val="00602DDA"/>
    <w:rsid w:val="00603FBA"/>
    <w:rsid w:val="00604BC3"/>
    <w:rsid w:val="0060563A"/>
    <w:rsid w:val="006057B3"/>
    <w:rsid w:val="00605C18"/>
    <w:rsid w:val="006060C0"/>
    <w:rsid w:val="00606138"/>
    <w:rsid w:val="00606B32"/>
    <w:rsid w:val="006074E9"/>
    <w:rsid w:val="00607D16"/>
    <w:rsid w:val="00611207"/>
    <w:rsid w:val="006112E5"/>
    <w:rsid w:val="0061139C"/>
    <w:rsid w:val="00611400"/>
    <w:rsid w:val="00611502"/>
    <w:rsid w:val="00611E24"/>
    <w:rsid w:val="006121E7"/>
    <w:rsid w:val="006126A6"/>
    <w:rsid w:val="0061359E"/>
    <w:rsid w:val="00613CB2"/>
    <w:rsid w:val="00613D62"/>
    <w:rsid w:val="00614B1B"/>
    <w:rsid w:val="006157A0"/>
    <w:rsid w:val="00616495"/>
    <w:rsid w:val="00616A2B"/>
    <w:rsid w:val="00617379"/>
    <w:rsid w:val="006173FC"/>
    <w:rsid w:val="006178AE"/>
    <w:rsid w:val="00620D96"/>
    <w:rsid w:val="00620DCC"/>
    <w:rsid w:val="00620E49"/>
    <w:rsid w:val="00621DBE"/>
    <w:rsid w:val="006223D9"/>
    <w:rsid w:val="00622E1D"/>
    <w:rsid w:val="00622E89"/>
    <w:rsid w:val="0062319C"/>
    <w:rsid w:val="006244EF"/>
    <w:rsid w:val="00625219"/>
    <w:rsid w:val="00626ACD"/>
    <w:rsid w:val="006277F5"/>
    <w:rsid w:val="006278A0"/>
    <w:rsid w:val="006317F0"/>
    <w:rsid w:val="00631AEB"/>
    <w:rsid w:val="00631D75"/>
    <w:rsid w:val="00631EEA"/>
    <w:rsid w:val="00632518"/>
    <w:rsid w:val="00632AA4"/>
    <w:rsid w:val="006330CE"/>
    <w:rsid w:val="00633641"/>
    <w:rsid w:val="00633A4F"/>
    <w:rsid w:val="0063485A"/>
    <w:rsid w:val="00635059"/>
    <w:rsid w:val="0063604D"/>
    <w:rsid w:val="00637C16"/>
    <w:rsid w:val="00641580"/>
    <w:rsid w:val="0064159A"/>
    <w:rsid w:val="00641AFE"/>
    <w:rsid w:val="00642222"/>
    <w:rsid w:val="0064238B"/>
    <w:rsid w:val="006423DF"/>
    <w:rsid w:val="00643B2E"/>
    <w:rsid w:val="00644448"/>
    <w:rsid w:val="006444C2"/>
    <w:rsid w:val="00646475"/>
    <w:rsid w:val="00646C74"/>
    <w:rsid w:val="00647104"/>
    <w:rsid w:val="00647AD5"/>
    <w:rsid w:val="00647C68"/>
    <w:rsid w:val="00651E87"/>
    <w:rsid w:val="0065246F"/>
    <w:rsid w:val="00652D02"/>
    <w:rsid w:val="00652EB6"/>
    <w:rsid w:val="00653064"/>
    <w:rsid w:val="00654125"/>
    <w:rsid w:val="006542A9"/>
    <w:rsid w:val="006547DA"/>
    <w:rsid w:val="00654EB0"/>
    <w:rsid w:val="006553B7"/>
    <w:rsid w:val="00655A14"/>
    <w:rsid w:val="006564BD"/>
    <w:rsid w:val="006565CF"/>
    <w:rsid w:val="00657445"/>
    <w:rsid w:val="00657BCF"/>
    <w:rsid w:val="00657C5D"/>
    <w:rsid w:val="0066095B"/>
    <w:rsid w:val="006610A1"/>
    <w:rsid w:val="0066179F"/>
    <w:rsid w:val="00661C77"/>
    <w:rsid w:val="00662B1C"/>
    <w:rsid w:val="00662D1E"/>
    <w:rsid w:val="00662DDC"/>
    <w:rsid w:val="00663E82"/>
    <w:rsid w:val="00663EEB"/>
    <w:rsid w:val="00663EFE"/>
    <w:rsid w:val="0066475F"/>
    <w:rsid w:val="00664831"/>
    <w:rsid w:val="00664DB7"/>
    <w:rsid w:val="0066580D"/>
    <w:rsid w:val="0066588D"/>
    <w:rsid w:val="00665A5D"/>
    <w:rsid w:val="00665E56"/>
    <w:rsid w:val="00665F74"/>
    <w:rsid w:val="00666116"/>
    <w:rsid w:val="00666BB7"/>
    <w:rsid w:val="00666BC7"/>
    <w:rsid w:val="00666D53"/>
    <w:rsid w:val="00666E4E"/>
    <w:rsid w:val="00666E6E"/>
    <w:rsid w:val="00667E7B"/>
    <w:rsid w:val="00671348"/>
    <w:rsid w:val="00671418"/>
    <w:rsid w:val="00671D66"/>
    <w:rsid w:val="0067209E"/>
    <w:rsid w:val="00672A0F"/>
    <w:rsid w:val="00672E7E"/>
    <w:rsid w:val="00673ADE"/>
    <w:rsid w:val="00673FC1"/>
    <w:rsid w:val="00675F31"/>
    <w:rsid w:val="006760A7"/>
    <w:rsid w:val="00677155"/>
    <w:rsid w:val="00677385"/>
    <w:rsid w:val="0067766F"/>
    <w:rsid w:val="006777D0"/>
    <w:rsid w:val="00677A7B"/>
    <w:rsid w:val="00680087"/>
    <w:rsid w:val="00680210"/>
    <w:rsid w:val="00680AFA"/>
    <w:rsid w:val="00680EC5"/>
    <w:rsid w:val="00681A0D"/>
    <w:rsid w:val="00681B4A"/>
    <w:rsid w:val="00681F8E"/>
    <w:rsid w:val="00683146"/>
    <w:rsid w:val="006839D3"/>
    <w:rsid w:val="00683DE1"/>
    <w:rsid w:val="0068400D"/>
    <w:rsid w:val="00684A0E"/>
    <w:rsid w:val="00684B26"/>
    <w:rsid w:val="00684BFC"/>
    <w:rsid w:val="006851B6"/>
    <w:rsid w:val="006862C0"/>
    <w:rsid w:val="00687003"/>
    <w:rsid w:val="00687FD9"/>
    <w:rsid w:val="00690677"/>
    <w:rsid w:val="006907E3"/>
    <w:rsid w:val="00690919"/>
    <w:rsid w:val="006921AD"/>
    <w:rsid w:val="00692447"/>
    <w:rsid w:val="006938C8"/>
    <w:rsid w:val="006945D3"/>
    <w:rsid w:val="00695597"/>
    <w:rsid w:val="0069662F"/>
    <w:rsid w:val="00696904"/>
    <w:rsid w:val="00696D86"/>
    <w:rsid w:val="006972DC"/>
    <w:rsid w:val="006975F0"/>
    <w:rsid w:val="00697776"/>
    <w:rsid w:val="006A0193"/>
    <w:rsid w:val="006A07B9"/>
    <w:rsid w:val="006A140D"/>
    <w:rsid w:val="006A1515"/>
    <w:rsid w:val="006A27A6"/>
    <w:rsid w:val="006A2F17"/>
    <w:rsid w:val="006A423D"/>
    <w:rsid w:val="006A6DA5"/>
    <w:rsid w:val="006A70C6"/>
    <w:rsid w:val="006A7723"/>
    <w:rsid w:val="006A7DAD"/>
    <w:rsid w:val="006B0A40"/>
    <w:rsid w:val="006B1F36"/>
    <w:rsid w:val="006B207F"/>
    <w:rsid w:val="006B2317"/>
    <w:rsid w:val="006B33F3"/>
    <w:rsid w:val="006B45A1"/>
    <w:rsid w:val="006B4EEB"/>
    <w:rsid w:val="006B5088"/>
    <w:rsid w:val="006B5414"/>
    <w:rsid w:val="006B5510"/>
    <w:rsid w:val="006B5A8E"/>
    <w:rsid w:val="006B6026"/>
    <w:rsid w:val="006B61B3"/>
    <w:rsid w:val="006B6CA1"/>
    <w:rsid w:val="006B6FC4"/>
    <w:rsid w:val="006B705F"/>
    <w:rsid w:val="006B75B0"/>
    <w:rsid w:val="006B76CA"/>
    <w:rsid w:val="006B7701"/>
    <w:rsid w:val="006B7DCD"/>
    <w:rsid w:val="006C069D"/>
    <w:rsid w:val="006C21BE"/>
    <w:rsid w:val="006C44F5"/>
    <w:rsid w:val="006C5F8B"/>
    <w:rsid w:val="006C6229"/>
    <w:rsid w:val="006C62C7"/>
    <w:rsid w:val="006C776C"/>
    <w:rsid w:val="006D0743"/>
    <w:rsid w:val="006D09C0"/>
    <w:rsid w:val="006D09D7"/>
    <w:rsid w:val="006D0FA8"/>
    <w:rsid w:val="006D11A1"/>
    <w:rsid w:val="006D168D"/>
    <w:rsid w:val="006D3AD9"/>
    <w:rsid w:val="006D3C60"/>
    <w:rsid w:val="006D3FE6"/>
    <w:rsid w:val="006D4B43"/>
    <w:rsid w:val="006D5643"/>
    <w:rsid w:val="006D5BBE"/>
    <w:rsid w:val="006D655F"/>
    <w:rsid w:val="006D67CB"/>
    <w:rsid w:val="006D681B"/>
    <w:rsid w:val="006D69A5"/>
    <w:rsid w:val="006D6A08"/>
    <w:rsid w:val="006D6AB4"/>
    <w:rsid w:val="006D6AC4"/>
    <w:rsid w:val="006D7661"/>
    <w:rsid w:val="006D76F0"/>
    <w:rsid w:val="006D7B79"/>
    <w:rsid w:val="006D7B8B"/>
    <w:rsid w:val="006E046D"/>
    <w:rsid w:val="006E051F"/>
    <w:rsid w:val="006E0ADA"/>
    <w:rsid w:val="006E0CE2"/>
    <w:rsid w:val="006E0E36"/>
    <w:rsid w:val="006E1A9C"/>
    <w:rsid w:val="006E1CD3"/>
    <w:rsid w:val="006E208A"/>
    <w:rsid w:val="006E21EA"/>
    <w:rsid w:val="006E256F"/>
    <w:rsid w:val="006E332C"/>
    <w:rsid w:val="006E37B6"/>
    <w:rsid w:val="006E42B1"/>
    <w:rsid w:val="006E4404"/>
    <w:rsid w:val="006E46CC"/>
    <w:rsid w:val="006E5205"/>
    <w:rsid w:val="006E6B48"/>
    <w:rsid w:val="006E6DED"/>
    <w:rsid w:val="006E70D5"/>
    <w:rsid w:val="006E7BBB"/>
    <w:rsid w:val="006F00C8"/>
    <w:rsid w:val="006F04A6"/>
    <w:rsid w:val="006F0C24"/>
    <w:rsid w:val="006F1B74"/>
    <w:rsid w:val="006F206E"/>
    <w:rsid w:val="006F2679"/>
    <w:rsid w:val="006F286B"/>
    <w:rsid w:val="006F2DFC"/>
    <w:rsid w:val="006F377F"/>
    <w:rsid w:val="006F3845"/>
    <w:rsid w:val="006F3BFC"/>
    <w:rsid w:val="006F3EED"/>
    <w:rsid w:val="006F454A"/>
    <w:rsid w:val="006F4AA3"/>
    <w:rsid w:val="006F5A5C"/>
    <w:rsid w:val="006F68C6"/>
    <w:rsid w:val="006F6C9E"/>
    <w:rsid w:val="006F7C58"/>
    <w:rsid w:val="00700C90"/>
    <w:rsid w:val="007013FE"/>
    <w:rsid w:val="00701449"/>
    <w:rsid w:val="007015A3"/>
    <w:rsid w:val="00701B1F"/>
    <w:rsid w:val="00703ED8"/>
    <w:rsid w:val="00704426"/>
    <w:rsid w:val="00704862"/>
    <w:rsid w:val="00705E36"/>
    <w:rsid w:val="00706137"/>
    <w:rsid w:val="00706359"/>
    <w:rsid w:val="00706371"/>
    <w:rsid w:val="007077A6"/>
    <w:rsid w:val="00710364"/>
    <w:rsid w:val="00710414"/>
    <w:rsid w:val="00710C55"/>
    <w:rsid w:val="00710F72"/>
    <w:rsid w:val="00712A38"/>
    <w:rsid w:val="00712C20"/>
    <w:rsid w:val="007134BC"/>
    <w:rsid w:val="007136D5"/>
    <w:rsid w:val="00713A5D"/>
    <w:rsid w:val="00713D72"/>
    <w:rsid w:val="007143F4"/>
    <w:rsid w:val="007147F6"/>
    <w:rsid w:val="00714D3B"/>
    <w:rsid w:val="00715104"/>
    <w:rsid w:val="00715AC8"/>
    <w:rsid w:val="00715FC5"/>
    <w:rsid w:val="007163C3"/>
    <w:rsid w:val="00716408"/>
    <w:rsid w:val="007165CA"/>
    <w:rsid w:val="00716D4A"/>
    <w:rsid w:val="00717573"/>
    <w:rsid w:val="00717D30"/>
    <w:rsid w:val="007206E7"/>
    <w:rsid w:val="00721389"/>
    <w:rsid w:val="007214D0"/>
    <w:rsid w:val="00722820"/>
    <w:rsid w:val="007237F8"/>
    <w:rsid w:val="0072436F"/>
    <w:rsid w:val="0072452D"/>
    <w:rsid w:val="00724E12"/>
    <w:rsid w:val="0072691C"/>
    <w:rsid w:val="00726D32"/>
    <w:rsid w:val="00726DDE"/>
    <w:rsid w:val="00727129"/>
    <w:rsid w:val="007272D7"/>
    <w:rsid w:val="00730302"/>
    <w:rsid w:val="007313B4"/>
    <w:rsid w:val="007315DB"/>
    <w:rsid w:val="00732E5D"/>
    <w:rsid w:val="00734347"/>
    <w:rsid w:val="007348AB"/>
    <w:rsid w:val="007349C4"/>
    <w:rsid w:val="00734B38"/>
    <w:rsid w:val="0073535B"/>
    <w:rsid w:val="00735F80"/>
    <w:rsid w:val="00736043"/>
    <w:rsid w:val="00740314"/>
    <w:rsid w:val="007407FB"/>
    <w:rsid w:val="00740CC6"/>
    <w:rsid w:val="00741983"/>
    <w:rsid w:val="00741BF6"/>
    <w:rsid w:val="007424BC"/>
    <w:rsid w:val="00742628"/>
    <w:rsid w:val="007428AE"/>
    <w:rsid w:val="007440AD"/>
    <w:rsid w:val="007441BC"/>
    <w:rsid w:val="007449FA"/>
    <w:rsid w:val="00745F18"/>
    <w:rsid w:val="00746A0C"/>
    <w:rsid w:val="007470DA"/>
    <w:rsid w:val="00747106"/>
    <w:rsid w:val="007479DE"/>
    <w:rsid w:val="007515CC"/>
    <w:rsid w:val="00752443"/>
    <w:rsid w:val="00752F9F"/>
    <w:rsid w:val="007536E5"/>
    <w:rsid w:val="00753AE3"/>
    <w:rsid w:val="00753BF1"/>
    <w:rsid w:val="00753D93"/>
    <w:rsid w:val="00753F70"/>
    <w:rsid w:val="007547B6"/>
    <w:rsid w:val="00754883"/>
    <w:rsid w:val="00754AE9"/>
    <w:rsid w:val="00754BE9"/>
    <w:rsid w:val="00755723"/>
    <w:rsid w:val="007562A2"/>
    <w:rsid w:val="00756982"/>
    <w:rsid w:val="00757066"/>
    <w:rsid w:val="0075762D"/>
    <w:rsid w:val="007617C9"/>
    <w:rsid w:val="00761CC0"/>
    <w:rsid w:val="00761EF0"/>
    <w:rsid w:val="00763B49"/>
    <w:rsid w:val="0076403C"/>
    <w:rsid w:val="00765760"/>
    <w:rsid w:val="00766400"/>
    <w:rsid w:val="007667D1"/>
    <w:rsid w:val="00767490"/>
    <w:rsid w:val="007674D7"/>
    <w:rsid w:val="007678F0"/>
    <w:rsid w:val="00767DB4"/>
    <w:rsid w:val="00770280"/>
    <w:rsid w:val="0077035A"/>
    <w:rsid w:val="00770749"/>
    <w:rsid w:val="00770F47"/>
    <w:rsid w:val="00772404"/>
    <w:rsid w:val="007729FC"/>
    <w:rsid w:val="007738FC"/>
    <w:rsid w:val="007739C2"/>
    <w:rsid w:val="007739FE"/>
    <w:rsid w:val="0077409F"/>
    <w:rsid w:val="00774379"/>
    <w:rsid w:val="007746ED"/>
    <w:rsid w:val="00774B76"/>
    <w:rsid w:val="00775A61"/>
    <w:rsid w:val="00775A66"/>
    <w:rsid w:val="007762EB"/>
    <w:rsid w:val="00776F35"/>
    <w:rsid w:val="00777547"/>
    <w:rsid w:val="00777853"/>
    <w:rsid w:val="00777B21"/>
    <w:rsid w:val="00780AD1"/>
    <w:rsid w:val="00781FFA"/>
    <w:rsid w:val="0078209A"/>
    <w:rsid w:val="00782785"/>
    <w:rsid w:val="00782992"/>
    <w:rsid w:val="00782DDE"/>
    <w:rsid w:val="00782FA5"/>
    <w:rsid w:val="007831A0"/>
    <w:rsid w:val="00783866"/>
    <w:rsid w:val="00783D22"/>
    <w:rsid w:val="00784416"/>
    <w:rsid w:val="0078778C"/>
    <w:rsid w:val="007904CF"/>
    <w:rsid w:val="00790C63"/>
    <w:rsid w:val="0079191A"/>
    <w:rsid w:val="00792134"/>
    <w:rsid w:val="00792580"/>
    <w:rsid w:val="00792D5D"/>
    <w:rsid w:val="00794120"/>
    <w:rsid w:val="00795395"/>
    <w:rsid w:val="00795EE7"/>
    <w:rsid w:val="00796020"/>
    <w:rsid w:val="00796200"/>
    <w:rsid w:val="00796DC4"/>
    <w:rsid w:val="007972A2"/>
    <w:rsid w:val="00797426"/>
    <w:rsid w:val="007A026B"/>
    <w:rsid w:val="007A0ECB"/>
    <w:rsid w:val="007A1811"/>
    <w:rsid w:val="007A2011"/>
    <w:rsid w:val="007A21A4"/>
    <w:rsid w:val="007A5668"/>
    <w:rsid w:val="007A574F"/>
    <w:rsid w:val="007A5BA2"/>
    <w:rsid w:val="007A608A"/>
    <w:rsid w:val="007A712C"/>
    <w:rsid w:val="007A7A89"/>
    <w:rsid w:val="007A7CBB"/>
    <w:rsid w:val="007A7D1D"/>
    <w:rsid w:val="007B090B"/>
    <w:rsid w:val="007B0E37"/>
    <w:rsid w:val="007B280A"/>
    <w:rsid w:val="007B3351"/>
    <w:rsid w:val="007B3B74"/>
    <w:rsid w:val="007B41AB"/>
    <w:rsid w:val="007B4C84"/>
    <w:rsid w:val="007B4F7A"/>
    <w:rsid w:val="007B5FCB"/>
    <w:rsid w:val="007B6035"/>
    <w:rsid w:val="007B69BB"/>
    <w:rsid w:val="007B6B69"/>
    <w:rsid w:val="007B7172"/>
    <w:rsid w:val="007C07C2"/>
    <w:rsid w:val="007C0C82"/>
    <w:rsid w:val="007C179D"/>
    <w:rsid w:val="007C27E2"/>
    <w:rsid w:val="007C2A10"/>
    <w:rsid w:val="007C3020"/>
    <w:rsid w:val="007C406B"/>
    <w:rsid w:val="007C4253"/>
    <w:rsid w:val="007C487B"/>
    <w:rsid w:val="007C52C0"/>
    <w:rsid w:val="007C5485"/>
    <w:rsid w:val="007C5B0F"/>
    <w:rsid w:val="007C618D"/>
    <w:rsid w:val="007C6F69"/>
    <w:rsid w:val="007C7698"/>
    <w:rsid w:val="007D2924"/>
    <w:rsid w:val="007D3037"/>
    <w:rsid w:val="007D3965"/>
    <w:rsid w:val="007D3FFE"/>
    <w:rsid w:val="007D500C"/>
    <w:rsid w:val="007D6328"/>
    <w:rsid w:val="007D66AF"/>
    <w:rsid w:val="007D7D30"/>
    <w:rsid w:val="007E12EE"/>
    <w:rsid w:val="007E15A4"/>
    <w:rsid w:val="007E1F08"/>
    <w:rsid w:val="007E1F52"/>
    <w:rsid w:val="007E22A6"/>
    <w:rsid w:val="007E238E"/>
    <w:rsid w:val="007E23BA"/>
    <w:rsid w:val="007E24B9"/>
    <w:rsid w:val="007E2652"/>
    <w:rsid w:val="007E41CE"/>
    <w:rsid w:val="007E513F"/>
    <w:rsid w:val="007E55B5"/>
    <w:rsid w:val="007E55F7"/>
    <w:rsid w:val="007E56A7"/>
    <w:rsid w:val="007E5C58"/>
    <w:rsid w:val="007E63EA"/>
    <w:rsid w:val="007E6D65"/>
    <w:rsid w:val="007E7192"/>
    <w:rsid w:val="007F0DBC"/>
    <w:rsid w:val="007F1075"/>
    <w:rsid w:val="007F2493"/>
    <w:rsid w:val="007F2E62"/>
    <w:rsid w:val="007F3F5D"/>
    <w:rsid w:val="007F402E"/>
    <w:rsid w:val="007F4B63"/>
    <w:rsid w:val="007F5238"/>
    <w:rsid w:val="007F58F4"/>
    <w:rsid w:val="007F5DEA"/>
    <w:rsid w:val="007F5FD8"/>
    <w:rsid w:val="007F6264"/>
    <w:rsid w:val="007F6274"/>
    <w:rsid w:val="007F6C23"/>
    <w:rsid w:val="007F7777"/>
    <w:rsid w:val="008005AC"/>
    <w:rsid w:val="00801BF9"/>
    <w:rsid w:val="00801D9B"/>
    <w:rsid w:val="00801E3F"/>
    <w:rsid w:val="008029CC"/>
    <w:rsid w:val="0080325B"/>
    <w:rsid w:val="008041F5"/>
    <w:rsid w:val="008042E3"/>
    <w:rsid w:val="00804A84"/>
    <w:rsid w:val="00804BBE"/>
    <w:rsid w:val="00804EEA"/>
    <w:rsid w:val="008058D5"/>
    <w:rsid w:val="008062D3"/>
    <w:rsid w:val="00807C34"/>
    <w:rsid w:val="00807CC7"/>
    <w:rsid w:val="00810067"/>
    <w:rsid w:val="008105EF"/>
    <w:rsid w:val="00810941"/>
    <w:rsid w:val="00810FE4"/>
    <w:rsid w:val="0081119D"/>
    <w:rsid w:val="00811B29"/>
    <w:rsid w:val="00811EA7"/>
    <w:rsid w:val="00813640"/>
    <w:rsid w:val="00813CDA"/>
    <w:rsid w:val="00813F24"/>
    <w:rsid w:val="00814036"/>
    <w:rsid w:val="00814E96"/>
    <w:rsid w:val="0081551C"/>
    <w:rsid w:val="008167B0"/>
    <w:rsid w:val="0081706C"/>
    <w:rsid w:val="008177CF"/>
    <w:rsid w:val="00817D5D"/>
    <w:rsid w:val="0082086F"/>
    <w:rsid w:val="00821E07"/>
    <w:rsid w:val="0082202B"/>
    <w:rsid w:val="00822040"/>
    <w:rsid w:val="0082348F"/>
    <w:rsid w:val="0082389E"/>
    <w:rsid w:val="00823C8A"/>
    <w:rsid w:val="00823D3A"/>
    <w:rsid w:val="0082408B"/>
    <w:rsid w:val="008250E9"/>
    <w:rsid w:val="00825661"/>
    <w:rsid w:val="00825F81"/>
    <w:rsid w:val="00825FFB"/>
    <w:rsid w:val="00826629"/>
    <w:rsid w:val="00826B74"/>
    <w:rsid w:val="00827101"/>
    <w:rsid w:val="00827541"/>
    <w:rsid w:val="00827B62"/>
    <w:rsid w:val="00827B6C"/>
    <w:rsid w:val="00827F6D"/>
    <w:rsid w:val="00830177"/>
    <w:rsid w:val="00830897"/>
    <w:rsid w:val="008308B4"/>
    <w:rsid w:val="00831142"/>
    <w:rsid w:val="0083344B"/>
    <w:rsid w:val="00834422"/>
    <w:rsid w:val="00834EF1"/>
    <w:rsid w:val="008353A3"/>
    <w:rsid w:val="00835476"/>
    <w:rsid w:val="008354F7"/>
    <w:rsid w:val="00836480"/>
    <w:rsid w:val="00836A86"/>
    <w:rsid w:val="00836F18"/>
    <w:rsid w:val="008372C8"/>
    <w:rsid w:val="0083756E"/>
    <w:rsid w:val="00842324"/>
    <w:rsid w:val="00843DF4"/>
    <w:rsid w:val="00843E00"/>
    <w:rsid w:val="00844850"/>
    <w:rsid w:val="008450CC"/>
    <w:rsid w:val="008454EE"/>
    <w:rsid w:val="00845823"/>
    <w:rsid w:val="0084673E"/>
    <w:rsid w:val="00847167"/>
    <w:rsid w:val="008474BC"/>
    <w:rsid w:val="008501FE"/>
    <w:rsid w:val="00850B9B"/>
    <w:rsid w:val="008511A0"/>
    <w:rsid w:val="008511AE"/>
    <w:rsid w:val="00852305"/>
    <w:rsid w:val="008534FF"/>
    <w:rsid w:val="00854460"/>
    <w:rsid w:val="00854C64"/>
    <w:rsid w:val="008552CF"/>
    <w:rsid w:val="008554A6"/>
    <w:rsid w:val="008556F7"/>
    <w:rsid w:val="0085570C"/>
    <w:rsid w:val="0085597B"/>
    <w:rsid w:val="00855C17"/>
    <w:rsid w:val="008569FA"/>
    <w:rsid w:val="00856CF2"/>
    <w:rsid w:val="00856EED"/>
    <w:rsid w:val="00856FEA"/>
    <w:rsid w:val="00857D61"/>
    <w:rsid w:val="00857DF9"/>
    <w:rsid w:val="00857EDE"/>
    <w:rsid w:val="008600CB"/>
    <w:rsid w:val="008600ED"/>
    <w:rsid w:val="00860AE8"/>
    <w:rsid w:val="0086109B"/>
    <w:rsid w:val="008613FC"/>
    <w:rsid w:val="00861D64"/>
    <w:rsid w:val="00862A9F"/>
    <w:rsid w:val="00864206"/>
    <w:rsid w:val="00864AB6"/>
    <w:rsid w:val="00864F1F"/>
    <w:rsid w:val="008654A8"/>
    <w:rsid w:val="0086666F"/>
    <w:rsid w:val="00866ED1"/>
    <w:rsid w:val="008679FA"/>
    <w:rsid w:val="00870A82"/>
    <w:rsid w:val="00870C0C"/>
    <w:rsid w:val="00871CB7"/>
    <w:rsid w:val="00872039"/>
    <w:rsid w:val="00872C56"/>
    <w:rsid w:val="00872D49"/>
    <w:rsid w:val="00872EEB"/>
    <w:rsid w:val="00873753"/>
    <w:rsid w:val="00873C1D"/>
    <w:rsid w:val="008743DE"/>
    <w:rsid w:val="008756B9"/>
    <w:rsid w:val="00876F22"/>
    <w:rsid w:val="008777D5"/>
    <w:rsid w:val="008800CE"/>
    <w:rsid w:val="008806EE"/>
    <w:rsid w:val="00880861"/>
    <w:rsid w:val="00880D23"/>
    <w:rsid w:val="008818F2"/>
    <w:rsid w:val="008821C3"/>
    <w:rsid w:val="00882CE8"/>
    <w:rsid w:val="0088333D"/>
    <w:rsid w:val="00883B7F"/>
    <w:rsid w:val="00883BB8"/>
    <w:rsid w:val="008840E4"/>
    <w:rsid w:val="00884B13"/>
    <w:rsid w:val="00884F45"/>
    <w:rsid w:val="00886200"/>
    <w:rsid w:val="008865CE"/>
    <w:rsid w:val="00886635"/>
    <w:rsid w:val="008872D5"/>
    <w:rsid w:val="00887B38"/>
    <w:rsid w:val="00887CF0"/>
    <w:rsid w:val="00890AD9"/>
    <w:rsid w:val="00890FD3"/>
    <w:rsid w:val="008917C4"/>
    <w:rsid w:val="00891912"/>
    <w:rsid w:val="00894205"/>
    <w:rsid w:val="00894A89"/>
    <w:rsid w:val="0089530A"/>
    <w:rsid w:val="0089741F"/>
    <w:rsid w:val="00897B16"/>
    <w:rsid w:val="008A059F"/>
    <w:rsid w:val="008A1A98"/>
    <w:rsid w:val="008A1C1D"/>
    <w:rsid w:val="008A1C47"/>
    <w:rsid w:val="008A1CF8"/>
    <w:rsid w:val="008A1E6B"/>
    <w:rsid w:val="008A1FA6"/>
    <w:rsid w:val="008A21AD"/>
    <w:rsid w:val="008A24E1"/>
    <w:rsid w:val="008A2CED"/>
    <w:rsid w:val="008A2EDC"/>
    <w:rsid w:val="008A320B"/>
    <w:rsid w:val="008A4608"/>
    <w:rsid w:val="008A52C9"/>
    <w:rsid w:val="008A53F3"/>
    <w:rsid w:val="008A5CAB"/>
    <w:rsid w:val="008A60F8"/>
    <w:rsid w:val="008A64E3"/>
    <w:rsid w:val="008A6CD2"/>
    <w:rsid w:val="008A7121"/>
    <w:rsid w:val="008B0019"/>
    <w:rsid w:val="008B002B"/>
    <w:rsid w:val="008B02D8"/>
    <w:rsid w:val="008B13DD"/>
    <w:rsid w:val="008B1402"/>
    <w:rsid w:val="008B1470"/>
    <w:rsid w:val="008B165B"/>
    <w:rsid w:val="008B2F63"/>
    <w:rsid w:val="008B35D8"/>
    <w:rsid w:val="008B3A1C"/>
    <w:rsid w:val="008B59AD"/>
    <w:rsid w:val="008B7BC4"/>
    <w:rsid w:val="008B7D5A"/>
    <w:rsid w:val="008B7EE2"/>
    <w:rsid w:val="008C055A"/>
    <w:rsid w:val="008C0A9C"/>
    <w:rsid w:val="008C1032"/>
    <w:rsid w:val="008C1349"/>
    <w:rsid w:val="008C1CC2"/>
    <w:rsid w:val="008C1E68"/>
    <w:rsid w:val="008C1EB6"/>
    <w:rsid w:val="008C239F"/>
    <w:rsid w:val="008C3096"/>
    <w:rsid w:val="008C36C8"/>
    <w:rsid w:val="008C47DE"/>
    <w:rsid w:val="008C49D2"/>
    <w:rsid w:val="008C536D"/>
    <w:rsid w:val="008C5EBC"/>
    <w:rsid w:val="008C70E9"/>
    <w:rsid w:val="008C712D"/>
    <w:rsid w:val="008D0BB7"/>
    <w:rsid w:val="008D18B0"/>
    <w:rsid w:val="008D1F94"/>
    <w:rsid w:val="008D1FEB"/>
    <w:rsid w:val="008D2316"/>
    <w:rsid w:val="008D2867"/>
    <w:rsid w:val="008D2DE5"/>
    <w:rsid w:val="008D32A3"/>
    <w:rsid w:val="008D3A30"/>
    <w:rsid w:val="008D41B7"/>
    <w:rsid w:val="008D4837"/>
    <w:rsid w:val="008D536A"/>
    <w:rsid w:val="008D5477"/>
    <w:rsid w:val="008D5542"/>
    <w:rsid w:val="008D5A40"/>
    <w:rsid w:val="008D6616"/>
    <w:rsid w:val="008D66EB"/>
    <w:rsid w:val="008D70C3"/>
    <w:rsid w:val="008D79CD"/>
    <w:rsid w:val="008E026A"/>
    <w:rsid w:val="008E03DE"/>
    <w:rsid w:val="008E10FD"/>
    <w:rsid w:val="008E1CBA"/>
    <w:rsid w:val="008E1CFD"/>
    <w:rsid w:val="008E2949"/>
    <w:rsid w:val="008E4890"/>
    <w:rsid w:val="008E5625"/>
    <w:rsid w:val="008E56F4"/>
    <w:rsid w:val="008E5DBC"/>
    <w:rsid w:val="008E6D19"/>
    <w:rsid w:val="008E6D77"/>
    <w:rsid w:val="008E6F0F"/>
    <w:rsid w:val="008E7B0E"/>
    <w:rsid w:val="008F1086"/>
    <w:rsid w:val="008F2A3E"/>
    <w:rsid w:val="008F2FC5"/>
    <w:rsid w:val="008F3657"/>
    <w:rsid w:val="008F3999"/>
    <w:rsid w:val="008F3F67"/>
    <w:rsid w:val="008F3F6B"/>
    <w:rsid w:val="008F40B6"/>
    <w:rsid w:val="008F45D8"/>
    <w:rsid w:val="008F4761"/>
    <w:rsid w:val="008F527A"/>
    <w:rsid w:val="008F577F"/>
    <w:rsid w:val="008F5FD0"/>
    <w:rsid w:val="008F644A"/>
    <w:rsid w:val="008F75FA"/>
    <w:rsid w:val="00900697"/>
    <w:rsid w:val="009007DA"/>
    <w:rsid w:val="00901125"/>
    <w:rsid w:val="00901172"/>
    <w:rsid w:val="0090197C"/>
    <w:rsid w:val="00901FA3"/>
    <w:rsid w:val="009035F3"/>
    <w:rsid w:val="00903DBB"/>
    <w:rsid w:val="00903DD2"/>
    <w:rsid w:val="00903EA0"/>
    <w:rsid w:val="0090609F"/>
    <w:rsid w:val="00906662"/>
    <w:rsid w:val="009070C0"/>
    <w:rsid w:val="0090795D"/>
    <w:rsid w:val="009101AD"/>
    <w:rsid w:val="00910BCF"/>
    <w:rsid w:val="009113C0"/>
    <w:rsid w:val="0091250E"/>
    <w:rsid w:val="00912C28"/>
    <w:rsid w:val="009155EC"/>
    <w:rsid w:val="0091599D"/>
    <w:rsid w:val="00915C4A"/>
    <w:rsid w:val="00916057"/>
    <w:rsid w:val="00916BB1"/>
    <w:rsid w:val="00917D70"/>
    <w:rsid w:val="00920856"/>
    <w:rsid w:val="00921439"/>
    <w:rsid w:val="009215E3"/>
    <w:rsid w:val="00922071"/>
    <w:rsid w:val="00923893"/>
    <w:rsid w:val="009245C3"/>
    <w:rsid w:val="00924EBB"/>
    <w:rsid w:val="009250F4"/>
    <w:rsid w:val="00926841"/>
    <w:rsid w:val="00926D27"/>
    <w:rsid w:val="009274E3"/>
    <w:rsid w:val="00927887"/>
    <w:rsid w:val="009301E9"/>
    <w:rsid w:val="00930E41"/>
    <w:rsid w:val="00930E46"/>
    <w:rsid w:val="0093176F"/>
    <w:rsid w:val="00931A56"/>
    <w:rsid w:val="00932055"/>
    <w:rsid w:val="009320A9"/>
    <w:rsid w:val="00932422"/>
    <w:rsid w:val="0093246A"/>
    <w:rsid w:val="00932E9B"/>
    <w:rsid w:val="009331D1"/>
    <w:rsid w:val="00934A26"/>
    <w:rsid w:val="009374C3"/>
    <w:rsid w:val="00941540"/>
    <w:rsid w:val="009420AE"/>
    <w:rsid w:val="009428A8"/>
    <w:rsid w:val="00943C9D"/>
    <w:rsid w:val="00944D45"/>
    <w:rsid w:val="00944E10"/>
    <w:rsid w:val="009453CC"/>
    <w:rsid w:val="00945429"/>
    <w:rsid w:val="009461F1"/>
    <w:rsid w:val="00947CA0"/>
    <w:rsid w:val="00951828"/>
    <w:rsid w:val="0095274A"/>
    <w:rsid w:val="009529E8"/>
    <w:rsid w:val="00952B83"/>
    <w:rsid w:val="00952F97"/>
    <w:rsid w:val="0095431E"/>
    <w:rsid w:val="0095449E"/>
    <w:rsid w:val="00954E2A"/>
    <w:rsid w:val="00955FAD"/>
    <w:rsid w:val="009578FF"/>
    <w:rsid w:val="00957A65"/>
    <w:rsid w:val="009603E6"/>
    <w:rsid w:val="009605E8"/>
    <w:rsid w:val="009617A3"/>
    <w:rsid w:val="00961DBC"/>
    <w:rsid w:val="00961EDF"/>
    <w:rsid w:val="009628D2"/>
    <w:rsid w:val="00963EFD"/>
    <w:rsid w:val="00963FF6"/>
    <w:rsid w:val="0096429C"/>
    <w:rsid w:val="00964B29"/>
    <w:rsid w:val="00966C79"/>
    <w:rsid w:val="00966D57"/>
    <w:rsid w:val="0096727C"/>
    <w:rsid w:val="00967A54"/>
    <w:rsid w:val="00967EB8"/>
    <w:rsid w:val="00970657"/>
    <w:rsid w:val="00970FE8"/>
    <w:rsid w:val="009715E6"/>
    <w:rsid w:val="009719BB"/>
    <w:rsid w:val="00971A61"/>
    <w:rsid w:val="00972169"/>
    <w:rsid w:val="0097282D"/>
    <w:rsid w:val="00973A16"/>
    <w:rsid w:val="0097479B"/>
    <w:rsid w:val="00974983"/>
    <w:rsid w:val="009755B5"/>
    <w:rsid w:val="00975891"/>
    <w:rsid w:val="00975F07"/>
    <w:rsid w:val="009767B5"/>
    <w:rsid w:val="00976F38"/>
    <w:rsid w:val="0097709A"/>
    <w:rsid w:val="00977109"/>
    <w:rsid w:val="00977361"/>
    <w:rsid w:val="00977742"/>
    <w:rsid w:val="00977C47"/>
    <w:rsid w:val="0098022D"/>
    <w:rsid w:val="00980496"/>
    <w:rsid w:val="00980CBF"/>
    <w:rsid w:val="00981013"/>
    <w:rsid w:val="0098167C"/>
    <w:rsid w:val="009819E5"/>
    <w:rsid w:val="00981E8C"/>
    <w:rsid w:val="00982059"/>
    <w:rsid w:val="009827EB"/>
    <w:rsid w:val="0098363A"/>
    <w:rsid w:val="00983E10"/>
    <w:rsid w:val="00984284"/>
    <w:rsid w:val="00985087"/>
    <w:rsid w:val="009851E5"/>
    <w:rsid w:val="009857E7"/>
    <w:rsid w:val="00985806"/>
    <w:rsid w:val="00985B38"/>
    <w:rsid w:val="00985BA9"/>
    <w:rsid w:val="009869E9"/>
    <w:rsid w:val="00986ABA"/>
    <w:rsid w:val="00986E9D"/>
    <w:rsid w:val="009870C8"/>
    <w:rsid w:val="00987425"/>
    <w:rsid w:val="00987501"/>
    <w:rsid w:val="00987998"/>
    <w:rsid w:val="00990AA8"/>
    <w:rsid w:val="009916EE"/>
    <w:rsid w:val="009919F4"/>
    <w:rsid w:val="00991B3F"/>
    <w:rsid w:val="00991D28"/>
    <w:rsid w:val="00991E01"/>
    <w:rsid w:val="009924AA"/>
    <w:rsid w:val="00993B03"/>
    <w:rsid w:val="009949E3"/>
    <w:rsid w:val="00994D27"/>
    <w:rsid w:val="00994F9A"/>
    <w:rsid w:val="0099550D"/>
    <w:rsid w:val="00996402"/>
    <w:rsid w:val="00996563"/>
    <w:rsid w:val="00996FAB"/>
    <w:rsid w:val="00997530"/>
    <w:rsid w:val="00997563"/>
    <w:rsid w:val="009A0DFA"/>
    <w:rsid w:val="009A2195"/>
    <w:rsid w:val="009A21C6"/>
    <w:rsid w:val="009A2CFA"/>
    <w:rsid w:val="009A2FB3"/>
    <w:rsid w:val="009A4C0D"/>
    <w:rsid w:val="009A4CC7"/>
    <w:rsid w:val="009A5BE4"/>
    <w:rsid w:val="009A5D1F"/>
    <w:rsid w:val="009A68F0"/>
    <w:rsid w:val="009A7E31"/>
    <w:rsid w:val="009B0B20"/>
    <w:rsid w:val="009B1B40"/>
    <w:rsid w:val="009B2D51"/>
    <w:rsid w:val="009B2E1C"/>
    <w:rsid w:val="009B37F4"/>
    <w:rsid w:val="009B4162"/>
    <w:rsid w:val="009B4F37"/>
    <w:rsid w:val="009B5429"/>
    <w:rsid w:val="009B59A1"/>
    <w:rsid w:val="009B5EAC"/>
    <w:rsid w:val="009B5F06"/>
    <w:rsid w:val="009B71EE"/>
    <w:rsid w:val="009B798A"/>
    <w:rsid w:val="009B7C83"/>
    <w:rsid w:val="009C1193"/>
    <w:rsid w:val="009C1935"/>
    <w:rsid w:val="009C25F9"/>
    <w:rsid w:val="009C2E06"/>
    <w:rsid w:val="009C31CE"/>
    <w:rsid w:val="009C34BA"/>
    <w:rsid w:val="009C3BD5"/>
    <w:rsid w:val="009C3D4F"/>
    <w:rsid w:val="009C495C"/>
    <w:rsid w:val="009C5276"/>
    <w:rsid w:val="009C6344"/>
    <w:rsid w:val="009C6562"/>
    <w:rsid w:val="009C7559"/>
    <w:rsid w:val="009D005C"/>
    <w:rsid w:val="009D0E9C"/>
    <w:rsid w:val="009D1627"/>
    <w:rsid w:val="009D1FCD"/>
    <w:rsid w:val="009D2334"/>
    <w:rsid w:val="009D2D3F"/>
    <w:rsid w:val="009D3316"/>
    <w:rsid w:val="009D343A"/>
    <w:rsid w:val="009D43AF"/>
    <w:rsid w:val="009D46E5"/>
    <w:rsid w:val="009D6414"/>
    <w:rsid w:val="009D68E0"/>
    <w:rsid w:val="009D6F0E"/>
    <w:rsid w:val="009D70E4"/>
    <w:rsid w:val="009D7240"/>
    <w:rsid w:val="009D7898"/>
    <w:rsid w:val="009D7C45"/>
    <w:rsid w:val="009E1FDB"/>
    <w:rsid w:val="009E2415"/>
    <w:rsid w:val="009E2B1E"/>
    <w:rsid w:val="009E35F6"/>
    <w:rsid w:val="009E41FD"/>
    <w:rsid w:val="009E4A41"/>
    <w:rsid w:val="009E5B63"/>
    <w:rsid w:val="009E737E"/>
    <w:rsid w:val="009E77D4"/>
    <w:rsid w:val="009F02EB"/>
    <w:rsid w:val="009F15F6"/>
    <w:rsid w:val="009F19B3"/>
    <w:rsid w:val="009F3842"/>
    <w:rsid w:val="009F48A3"/>
    <w:rsid w:val="009F506C"/>
    <w:rsid w:val="009F5312"/>
    <w:rsid w:val="009F54F9"/>
    <w:rsid w:val="009F6882"/>
    <w:rsid w:val="009F6BB1"/>
    <w:rsid w:val="009F7141"/>
    <w:rsid w:val="009F792D"/>
    <w:rsid w:val="009F7DA5"/>
    <w:rsid w:val="009F7FE5"/>
    <w:rsid w:val="00A013FE"/>
    <w:rsid w:val="00A01638"/>
    <w:rsid w:val="00A020F1"/>
    <w:rsid w:val="00A02A77"/>
    <w:rsid w:val="00A03032"/>
    <w:rsid w:val="00A0334E"/>
    <w:rsid w:val="00A03D04"/>
    <w:rsid w:val="00A0459A"/>
    <w:rsid w:val="00A054FB"/>
    <w:rsid w:val="00A05538"/>
    <w:rsid w:val="00A05691"/>
    <w:rsid w:val="00A05CEA"/>
    <w:rsid w:val="00A05FA8"/>
    <w:rsid w:val="00A07460"/>
    <w:rsid w:val="00A11851"/>
    <w:rsid w:val="00A11918"/>
    <w:rsid w:val="00A127C1"/>
    <w:rsid w:val="00A13873"/>
    <w:rsid w:val="00A1437D"/>
    <w:rsid w:val="00A15416"/>
    <w:rsid w:val="00A16566"/>
    <w:rsid w:val="00A20550"/>
    <w:rsid w:val="00A20E7D"/>
    <w:rsid w:val="00A21871"/>
    <w:rsid w:val="00A21979"/>
    <w:rsid w:val="00A223CD"/>
    <w:rsid w:val="00A22AE9"/>
    <w:rsid w:val="00A22ED6"/>
    <w:rsid w:val="00A231CA"/>
    <w:rsid w:val="00A2339E"/>
    <w:rsid w:val="00A23448"/>
    <w:rsid w:val="00A23744"/>
    <w:rsid w:val="00A23F5F"/>
    <w:rsid w:val="00A252E9"/>
    <w:rsid w:val="00A25875"/>
    <w:rsid w:val="00A2592B"/>
    <w:rsid w:val="00A25C79"/>
    <w:rsid w:val="00A26384"/>
    <w:rsid w:val="00A268A1"/>
    <w:rsid w:val="00A27C2B"/>
    <w:rsid w:val="00A30AF7"/>
    <w:rsid w:val="00A311DB"/>
    <w:rsid w:val="00A3359C"/>
    <w:rsid w:val="00A3372A"/>
    <w:rsid w:val="00A33E2B"/>
    <w:rsid w:val="00A342D9"/>
    <w:rsid w:val="00A34815"/>
    <w:rsid w:val="00A34EEF"/>
    <w:rsid w:val="00A35225"/>
    <w:rsid w:val="00A355B9"/>
    <w:rsid w:val="00A36BE6"/>
    <w:rsid w:val="00A36C8E"/>
    <w:rsid w:val="00A36EFD"/>
    <w:rsid w:val="00A3748D"/>
    <w:rsid w:val="00A401FC"/>
    <w:rsid w:val="00A403BF"/>
    <w:rsid w:val="00A407B6"/>
    <w:rsid w:val="00A40C8E"/>
    <w:rsid w:val="00A420B4"/>
    <w:rsid w:val="00A42381"/>
    <w:rsid w:val="00A427A9"/>
    <w:rsid w:val="00A42FD4"/>
    <w:rsid w:val="00A43D31"/>
    <w:rsid w:val="00A440C2"/>
    <w:rsid w:val="00A44FCD"/>
    <w:rsid w:val="00A4551C"/>
    <w:rsid w:val="00A45954"/>
    <w:rsid w:val="00A4671A"/>
    <w:rsid w:val="00A46761"/>
    <w:rsid w:val="00A46764"/>
    <w:rsid w:val="00A4712F"/>
    <w:rsid w:val="00A47942"/>
    <w:rsid w:val="00A509E9"/>
    <w:rsid w:val="00A523C2"/>
    <w:rsid w:val="00A52CDA"/>
    <w:rsid w:val="00A53119"/>
    <w:rsid w:val="00A53506"/>
    <w:rsid w:val="00A5388E"/>
    <w:rsid w:val="00A5482E"/>
    <w:rsid w:val="00A54D17"/>
    <w:rsid w:val="00A55D81"/>
    <w:rsid w:val="00A568DA"/>
    <w:rsid w:val="00A57232"/>
    <w:rsid w:val="00A57F18"/>
    <w:rsid w:val="00A6021A"/>
    <w:rsid w:val="00A60395"/>
    <w:rsid w:val="00A609F4"/>
    <w:rsid w:val="00A61AC0"/>
    <w:rsid w:val="00A6272D"/>
    <w:rsid w:val="00A631D0"/>
    <w:rsid w:val="00A63245"/>
    <w:rsid w:val="00A6352F"/>
    <w:rsid w:val="00A642D8"/>
    <w:rsid w:val="00A6467A"/>
    <w:rsid w:val="00A64792"/>
    <w:rsid w:val="00A64BF3"/>
    <w:rsid w:val="00A64D22"/>
    <w:rsid w:val="00A652DA"/>
    <w:rsid w:val="00A65525"/>
    <w:rsid w:val="00A657D4"/>
    <w:rsid w:val="00A65B8F"/>
    <w:rsid w:val="00A6724E"/>
    <w:rsid w:val="00A67C48"/>
    <w:rsid w:val="00A70649"/>
    <w:rsid w:val="00A706EB"/>
    <w:rsid w:val="00A70C4A"/>
    <w:rsid w:val="00A70DCD"/>
    <w:rsid w:val="00A710B3"/>
    <w:rsid w:val="00A712F6"/>
    <w:rsid w:val="00A7184A"/>
    <w:rsid w:val="00A71A36"/>
    <w:rsid w:val="00A7286B"/>
    <w:rsid w:val="00A73F83"/>
    <w:rsid w:val="00A74094"/>
    <w:rsid w:val="00A74382"/>
    <w:rsid w:val="00A7508B"/>
    <w:rsid w:val="00A750FA"/>
    <w:rsid w:val="00A7562C"/>
    <w:rsid w:val="00A75CAD"/>
    <w:rsid w:val="00A7645F"/>
    <w:rsid w:val="00A8026D"/>
    <w:rsid w:val="00A813B3"/>
    <w:rsid w:val="00A81D9A"/>
    <w:rsid w:val="00A81F0D"/>
    <w:rsid w:val="00A822C8"/>
    <w:rsid w:val="00A8274F"/>
    <w:rsid w:val="00A82DFE"/>
    <w:rsid w:val="00A82E89"/>
    <w:rsid w:val="00A82F80"/>
    <w:rsid w:val="00A831EC"/>
    <w:rsid w:val="00A837E2"/>
    <w:rsid w:val="00A839E1"/>
    <w:rsid w:val="00A84C14"/>
    <w:rsid w:val="00A85749"/>
    <w:rsid w:val="00A86226"/>
    <w:rsid w:val="00A86719"/>
    <w:rsid w:val="00A86E30"/>
    <w:rsid w:val="00A86EE9"/>
    <w:rsid w:val="00A86F72"/>
    <w:rsid w:val="00A875B4"/>
    <w:rsid w:val="00A906C1"/>
    <w:rsid w:val="00A90CA0"/>
    <w:rsid w:val="00A90D46"/>
    <w:rsid w:val="00A90FAB"/>
    <w:rsid w:val="00A9100E"/>
    <w:rsid w:val="00A912F2"/>
    <w:rsid w:val="00A920B7"/>
    <w:rsid w:val="00A928C4"/>
    <w:rsid w:val="00A92F09"/>
    <w:rsid w:val="00A94F14"/>
    <w:rsid w:val="00A952C6"/>
    <w:rsid w:val="00A95781"/>
    <w:rsid w:val="00A95ED3"/>
    <w:rsid w:val="00A960E0"/>
    <w:rsid w:val="00A96238"/>
    <w:rsid w:val="00A9669A"/>
    <w:rsid w:val="00A967F9"/>
    <w:rsid w:val="00A96B1E"/>
    <w:rsid w:val="00A96E07"/>
    <w:rsid w:val="00A971BC"/>
    <w:rsid w:val="00A9754E"/>
    <w:rsid w:val="00A978FE"/>
    <w:rsid w:val="00AA02DA"/>
    <w:rsid w:val="00AA1813"/>
    <w:rsid w:val="00AA1A61"/>
    <w:rsid w:val="00AA1FE9"/>
    <w:rsid w:val="00AA210D"/>
    <w:rsid w:val="00AA303D"/>
    <w:rsid w:val="00AA3D0D"/>
    <w:rsid w:val="00AA4235"/>
    <w:rsid w:val="00AA5267"/>
    <w:rsid w:val="00AA5317"/>
    <w:rsid w:val="00AA5606"/>
    <w:rsid w:val="00AA5691"/>
    <w:rsid w:val="00AA61C4"/>
    <w:rsid w:val="00AA64E0"/>
    <w:rsid w:val="00AA6A90"/>
    <w:rsid w:val="00AA6C89"/>
    <w:rsid w:val="00AA7997"/>
    <w:rsid w:val="00AB0732"/>
    <w:rsid w:val="00AB0752"/>
    <w:rsid w:val="00AB171E"/>
    <w:rsid w:val="00AB18F9"/>
    <w:rsid w:val="00AB221F"/>
    <w:rsid w:val="00AB2286"/>
    <w:rsid w:val="00AB2476"/>
    <w:rsid w:val="00AB2D11"/>
    <w:rsid w:val="00AB3286"/>
    <w:rsid w:val="00AB4B22"/>
    <w:rsid w:val="00AB4E7A"/>
    <w:rsid w:val="00AB564F"/>
    <w:rsid w:val="00AB5F56"/>
    <w:rsid w:val="00AB65FA"/>
    <w:rsid w:val="00AB65FD"/>
    <w:rsid w:val="00AB68AC"/>
    <w:rsid w:val="00AB760A"/>
    <w:rsid w:val="00AB7F19"/>
    <w:rsid w:val="00AC0919"/>
    <w:rsid w:val="00AC12E0"/>
    <w:rsid w:val="00AC1B22"/>
    <w:rsid w:val="00AC22D2"/>
    <w:rsid w:val="00AC2589"/>
    <w:rsid w:val="00AC3270"/>
    <w:rsid w:val="00AC3813"/>
    <w:rsid w:val="00AC45D7"/>
    <w:rsid w:val="00AC4A24"/>
    <w:rsid w:val="00AC53ED"/>
    <w:rsid w:val="00AC7D79"/>
    <w:rsid w:val="00AD0359"/>
    <w:rsid w:val="00AD1335"/>
    <w:rsid w:val="00AD1BE4"/>
    <w:rsid w:val="00AD2D78"/>
    <w:rsid w:val="00AD2E3E"/>
    <w:rsid w:val="00AD2FEE"/>
    <w:rsid w:val="00AD45EA"/>
    <w:rsid w:val="00AD4CC3"/>
    <w:rsid w:val="00AD4DEF"/>
    <w:rsid w:val="00AD5AE3"/>
    <w:rsid w:val="00AD60F5"/>
    <w:rsid w:val="00AD6948"/>
    <w:rsid w:val="00AD6C10"/>
    <w:rsid w:val="00AD74BF"/>
    <w:rsid w:val="00AD7D30"/>
    <w:rsid w:val="00AE02A7"/>
    <w:rsid w:val="00AE04EA"/>
    <w:rsid w:val="00AE06CF"/>
    <w:rsid w:val="00AE0BE7"/>
    <w:rsid w:val="00AE1496"/>
    <w:rsid w:val="00AE1646"/>
    <w:rsid w:val="00AE2056"/>
    <w:rsid w:val="00AE29CA"/>
    <w:rsid w:val="00AE2F86"/>
    <w:rsid w:val="00AE309F"/>
    <w:rsid w:val="00AE420B"/>
    <w:rsid w:val="00AE4D94"/>
    <w:rsid w:val="00AE4F0E"/>
    <w:rsid w:val="00AE5023"/>
    <w:rsid w:val="00AE5BF2"/>
    <w:rsid w:val="00AE6734"/>
    <w:rsid w:val="00AE7041"/>
    <w:rsid w:val="00AE7205"/>
    <w:rsid w:val="00AE79C8"/>
    <w:rsid w:val="00AE7A96"/>
    <w:rsid w:val="00AE7CD4"/>
    <w:rsid w:val="00AF1985"/>
    <w:rsid w:val="00AF203C"/>
    <w:rsid w:val="00AF31D1"/>
    <w:rsid w:val="00AF3442"/>
    <w:rsid w:val="00AF36FD"/>
    <w:rsid w:val="00AF3BE3"/>
    <w:rsid w:val="00AF3E8E"/>
    <w:rsid w:val="00AF3F69"/>
    <w:rsid w:val="00AF57E5"/>
    <w:rsid w:val="00AF6333"/>
    <w:rsid w:val="00AF6F70"/>
    <w:rsid w:val="00AF7062"/>
    <w:rsid w:val="00AF718F"/>
    <w:rsid w:val="00B00B92"/>
    <w:rsid w:val="00B017EA"/>
    <w:rsid w:val="00B02A3D"/>
    <w:rsid w:val="00B036CB"/>
    <w:rsid w:val="00B0395A"/>
    <w:rsid w:val="00B03FE7"/>
    <w:rsid w:val="00B046A8"/>
    <w:rsid w:val="00B0540A"/>
    <w:rsid w:val="00B059FC"/>
    <w:rsid w:val="00B0689F"/>
    <w:rsid w:val="00B068E7"/>
    <w:rsid w:val="00B070CC"/>
    <w:rsid w:val="00B10BB9"/>
    <w:rsid w:val="00B10D11"/>
    <w:rsid w:val="00B116C0"/>
    <w:rsid w:val="00B117EF"/>
    <w:rsid w:val="00B1192B"/>
    <w:rsid w:val="00B12207"/>
    <w:rsid w:val="00B12641"/>
    <w:rsid w:val="00B139F6"/>
    <w:rsid w:val="00B141CE"/>
    <w:rsid w:val="00B14B74"/>
    <w:rsid w:val="00B14E94"/>
    <w:rsid w:val="00B15CCF"/>
    <w:rsid w:val="00B16C97"/>
    <w:rsid w:val="00B2044D"/>
    <w:rsid w:val="00B204D8"/>
    <w:rsid w:val="00B205C2"/>
    <w:rsid w:val="00B213CA"/>
    <w:rsid w:val="00B2180E"/>
    <w:rsid w:val="00B225B7"/>
    <w:rsid w:val="00B239A1"/>
    <w:rsid w:val="00B24D0A"/>
    <w:rsid w:val="00B25982"/>
    <w:rsid w:val="00B27082"/>
    <w:rsid w:val="00B27F2E"/>
    <w:rsid w:val="00B3006B"/>
    <w:rsid w:val="00B3149A"/>
    <w:rsid w:val="00B319DF"/>
    <w:rsid w:val="00B31BD4"/>
    <w:rsid w:val="00B31EF9"/>
    <w:rsid w:val="00B32918"/>
    <w:rsid w:val="00B33A6D"/>
    <w:rsid w:val="00B340FF"/>
    <w:rsid w:val="00B35275"/>
    <w:rsid w:val="00B3549E"/>
    <w:rsid w:val="00B35F68"/>
    <w:rsid w:val="00B36B77"/>
    <w:rsid w:val="00B36C38"/>
    <w:rsid w:val="00B36E16"/>
    <w:rsid w:val="00B36EDA"/>
    <w:rsid w:val="00B37735"/>
    <w:rsid w:val="00B40AB0"/>
    <w:rsid w:val="00B41170"/>
    <w:rsid w:val="00B42199"/>
    <w:rsid w:val="00B42658"/>
    <w:rsid w:val="00B42762"/>
    <w:rsid w:val="00B42FDE"/>
    <w:rsid w:val="00B43E8A"/>
    <w:rsid w:val="00B44332"/>
    <w:rsid w:val="00B44481"/>
    <w:rsid w:val="00B4551F"/>
    <w:rsid w:val="00B45E30"/>
    <w:rsid w:val="00B46BA5"/>
    <w:rsid w:val="00B50010"/>
    <w:rsid w:val="00B5071C"/>
    <w:rsid w:val="00B50DEB"/>
    <w:rsid w:val="00B510B3"/>
    <w:rsid w:val="00B51DFC"/>
    <w:rsid w:val="00B54F42"/>
    <w:rsid w:val="00B555F7"/>
    <w:rsid w:val="00B564E6"/>
    <w:rsid w:val="00B5650D"/>
    <w:rsid w:val="00B5771B"/>
    <w:rsid w:val="00B57CB4"/>
    <w:rsid w:val="00B57CEB"/>
    <w:rsid w:val="00B6029E"/>
    <w:rsid w:val="00B6110B"/>
    <w:rsid w:val="00B6145C"/>
    <w:rsid w:val="00B61636"/>
    <w:rsid w:val="00B62CC9"/>
    <w:rsid w:val="00B65D4E"/>
    <w:rsid w:val="00B65F58"/>
    <w:rsid w:val="00B66126"/>
    <w:rsid w:val="00B6782E"/>
    <w:rsid w:val="00B6794F"/>
    <w:rsid w:val="00B67B48"/>
    <w:rsid w:val="00B67CB2"/>
    <w:rsid w:val="00B702D5"/>
    <w:rsid w:val="00B7087A"/>
    <w:rsid w:val="00B70A29"/>
    <w:rsid w:val="00B70C4F"/>
    <w:rsid w:val="00B718CD"/>
    <w:rsid w:val="00B71B40"/>
    <w:rsid w:val="00B71EF3"/>
    <w:rsid w:val="00B71F7C"/>
    <w:rsid w:val="00B7237B"/>
    <w:rsid w:val="00B727BD"/>
    <w:rsid w:val="00B72EFD"/>
    <w:rsid w:val="00B73B9C"/>
    <w:rsid w:val="00B74A76"/>
    <w:rsid w:val="00B74BAC"/>
    <w:rsid w:val="00B7547E"/>
    <w:rsid w:val="00B75C3C"/>
    <w:rsid w:val="00B77C8E"/>
    <w:rsid w:val="00B77FB9"/>
    <w:rsid w:val="00B77FBF"/>
    <w:rsid w:val="00B8008B"/>
    <w:rsid w:val="00B808B0"/>
    <w:rsid w:val="00B8321E"/>
    <w:rsid w:val="00B83D14"/>
    <w:rsid w:val="00B84932"/>
    <w:rsid w:val="00B851DA"/>
    <w:rsid w:val="00B859EF"/>
    <w:rsid w:val="00B86D40"/>
    <w:rsid w:val="00B90004"/>
    <w:rsid w:val="00B905BC"/>
    <w:rsid w:val="00B913D6"/>
    <w:rsid w:val="00B91C48"/>
    <w:rsid w:val="00B91C83"/>
    <w:rsid w:val="00B91E81"/>
    <w:rsid w:val="00B92EA0"/>
    <w:rsid w:val="00B93457"/>
    <w:rsid w:val="00B93679"/>
    <w:rsid w:val="00B937CC"/>
    <w:rsid w:val="00B93A33"/>
    <w:rsid w:val="00B940A5"/>
    <w:rsid w:val="00B9649F"/>
    <w:rsid w:val="00B96572"/>
    <w:rsid w:val="00B975F7"/>
    <w:rsid w:val="00B9779C"/>
    <w:rsid w:val="00BA0836"/>
    <w:rsid w:val="00BA0EC5"/>
    <w:rsid w:val="00BA0F13"/>
    <w:rsid w:val="00BA1144"/>
    <w:rsid w:val="00BA1687"/>
    <w:rsid w:val="00BA217A"/>
    <w:rsid w:val="00BA2658"/>
    <w:rsid w:val="00BA3355"/>
    <w:rsid w:val="00BA3735"/>
    <w:rsid w:val="00BA3871"/>
    <w:rsid w:val="00BA4249"/>
    <w:rsid w:val="00BA56BD"/>
    <w:rsid w:val="00BA6095"/>
    <w:rsid w:val="00BA6982"/>
    <w:rsid w:val="00BA6D77"/>
    <w:rsid w:val="00BA70A9"/>
    <w:rsid w:val="00BA7EF3"/>
    <w:rsid w:val="00BB04CB"/>
    <w:rsid w:val="00BB0BB9"/>
    <w:rsid w:val="00BB15CF"/>
    <w:rsid w:val="00BB1D47"/>
    <w:rsid w:val="00BB1E11"/>
    <w:rsid w:val="00BB2166"/>
    <w:rsid w:val="00BB353E"/>
    <w:rsid w:val="00BB42FA"/>
    <w:rsid w:val="00BB47A5"/>
    <w:rsid w:val="00BB48BA"/>
    <w:rsid w:val="00BB4A25"/>
    <w:rsid w:val="00BB5081"/>
    <w:rsid w:val="00BB5410"/>
    <w:rsid w:val="00BB6541"/>
    <w:rsid w:val="00BB6C36"/>
    <w:rsid w:val="00BB745E"/>
    <w:rsid w:val="00BB74E3"/>
    <w:rsid w:val="00BC0029"/>
    <w:rsid w:val="00BC0050"/>
    <w:rsid w:val="00BC20DF"/>
    <w:rsid w:val="00BC28B5"/>
    <w:rsid w:val="00BC3AF6"/>
    <w:rsid w:val="00BC44FE"/>
    <w:rsid w:val="00BC53FF"/>
    <w:rsid w:val="00BC5818"/>
    <w:rsid w:val="00BC6323"/>
    <w:rsid w:val="00BC697A"/>
    <w:rsid w:val="00BC73CE"/>
    <w:rsid w:val="00BC74EF"/>
    <w:rsid w:val="00BD19F8"/>
    <w:rsid w:val="00BD22FB"/>
    <w:rsid w:val="00BD490E"/>
    <w:rsid w:val="00BD4B3E"/>
    <w:rsid w:val="00BD6136"/>
    <w:rsid w:val="00BD64D3"/>
    <w:rsid w:val="00BD699F"/>
    <w:rsid w:val="00BD7370"/>
    <w:rsid w:val="00BD7499"/>
    <w:rsid w:val="00BD75CA"/>
    <w:rsid w:val="00BE0DA6"/>
    <w:rsid w:val="00BE0E88"/>
    <w:rsid w:val="00BE154E"/>
    <w:rsid w:val="00BE1D8D"/>
    <w:rsid w:val="00BE26B2"/>
    <w:rsid w:val="00BE313F"/>
    <w:rsid w:val="00BE32CA"/>
    <w:rsid w:val="00BE340D"/>
    <w:rsid w:val="00BE4125"/>
    <w:rsid w:val="00BE42E4"/>
    <w:rsid w:val="00BE475D"/>
    <w:rsid w:val="00BE5144"/>
    <w:rsid w:val="00BE5E0E"/>
    <w:rsid w:val="00BE60FB"/>
    <w:rsid w:val="00BE6A80"/>
    <w:rsid w:val="00BE6BF6"/>
    <w:rsid w:val="00BE753C"/>
    <w:rsid w:val="00BE7780"/>
    <w:rsid w:val="00BE7BB2"/>
    <w:rsid w:val="00BE7E54"/>
    <w:rsid w:val="00BF0ACF"/>
    <w:rsid w:val="00BF0F8F"/>
    <w:rsid w:val="00BF1217"/>
    <w:rsid w:val="00BF162F"/>
    <w:rsid w:val="00BF1C1F"/>
    <w:rsid w:val="00BF1DB3"/>
    <w:rsid w:val="00BF2980"/>
    <w:rsid w:val="00BF2D54"/>
    <w:rsid w:val="00BF47C7"/>
    <w:rsid w:val="00BF4B54"/>
    <w:rsid w:val="00BF586A"/>
    <w:rsid w:val="00BF5D4C"/>
    <w:rsid w:val="00BF6D8B"/>
    <w:rsid w:val="00BF70F1"/>
    <w:rsid w:val="00BF7221"/>
    <w:rsid w:val="00BF7BB0"/>
    <w:rsid w:val="00C00B26"/>
    <w:rsid w:val="00C012C8"/>
    <w:rsid w:val="00C026D7"/>
    <w:rsid w:val="00C0375F"/>
    <w:rsid w:val="00C04554"/>
    <w:rsid w:val="00C050AF"/>
    <w:rsid w:val="00C05478"/>
    <w:rsid w:val="00C0691B"/>
    <w:rsid w:val="00C06C0C"/>
    <w:rsid w:val="00C06CDF"/>
    <w:rsid w:val="00C07945"/>
    <w:rsid w:val="00C079E0"/>
    <w:rsid w:val="00C10E4A"/>
    <w:rsid w:val="00C1140A"/>
    <w:rsid w:val="00C11524"/>
    <w:rsid w:val="00C132BC"/>
    <w:rsid w:val="00C13C61"/>
    <w:rsid w:val="00C15170"/>
    <w:rsid w:val="00C15942"/>
    <w:rsid w:val="00C1641F"/>
    <w:rsid w:val="00C16740"/>
    <w:rsid w:val="00C16DED"/>
    <w:rsid w:val="00C174F0"/>
    <w:rsid w:val="00C178F3"/>
    <w:rsid w:val="00C20540"/>
    <w:rsid w:val="00C2138B"/>
    <w:rsid w:val="00C21FF5"/>
    <w:rsid w:val="00C22294"/>
    <w:rsid w:val="00C22CF6"/>
    <w:rsid w:val="00C2396C"/>
    <w:rsid w:val="00C23CBC"/>
    <w:rsid w:val="00C26171"/>
    <w:rsid w:val="00C2752B"/>
    <w:rsid w:val="00C27859"/>
    <w:rsid w:val="00C27B61"/>
    <w:rsid w:val="00C30093"/>
    <w:rsid w:val="00C3067D"/>
    <w:rsid w:val="00C30D04"/>
    <w:rsid w:val="00C31110"/>
    <w:rsid w:val="00C317CD"/>
    <w:rsid w:val="00C31DCA"/>
    <w:rsid w:val="00C32FCE"/>
    <w:rsid w:val="00C32FEF"/>
    <w:rsid w:val="00C33167"/>
    <w:rsid w:val="00C33874"/>
    <w:rsid w:val="00C33AC8"/>
    <w:rsid w:val="00C35001"/>
    <w:rsid w:val="00C36E8B"/>
    <w:rsid w:val="00C36F8A"/>
    <w:rsid w:val="00C370EC"/>
    <w:rsid w:val="00C40D16"/>
    <w:rsid w:val="00C41ACC"/>
    <w:rsid w:val="00C41B8A"/>
    <w:rsid w:val="00C41EC0"/>
    <w:rsid w:val="00C423C9"/>
    <w:rsid w:val="00C4464E"/>
    <w:rsid w:val="00C44727"/>
    <w:rsid w:val="00C45845"/>
    <w:rsid w:val="00C4645C"/>
    <w:rsid w:val="00C4658C"/>
    <w:rsid w:val="00C471A9"/>
    <w:rsid w:val="00C47589"/>
    <w:rsid w:val="00C47F96"/>
    <w:rsid w:val="00C504C9"/>
    <w:rsid w:val="00C508C7"/>
    <w:rsid w:val="00C50991"/>
    <w:rsid w:val="00C50B69"/>
    <w:rsid w:val="00C512CC"/>
    <w:rsid w:val="00C51FBA"/>
    <w:rsid w:val="00C52CA7"/>
    <w:rsid w:val="00C52FDD"/>
    <w:rsid w:val="00C531E6"/>
    <w:rsid w:val="00C5337E"/>
    <w:rsid w:val="00C53D84"/>
    <w:rsid w:val="00C540CC"/>
    <w:rsid w:val="00C540EE"/>
    <w:rsid w:val="00C54129"/>
    <w:rsid w:val="00C544E8"/>
    <w:rsid w:val="00C55540"/>
    <w:rsid w:val="00C56B13"/>
    <w:rsid w:val="00C56BE7"/>
    <w:rsid w:val="00C577C6"/>
    <w:rsid w:val="00C611D3"/>
    <w:rsid w:val="00C622BE"/>
    <w:rsid w:val="00C625B6"/>
    <w:rsid w:val="00C627BF"/>
    <w:rsid w:val="00C62ABE"/>
    <w:rsid w:val="00C64879"/>
    <w:rsid w:val="00C65632"/>
    <w:rsid w:val="00C662D5"/>
    <w:rsid w:val="00C66362"/>
    <w:rsid w:val="00C666AA"/>
    <w:rsid w:val="00C66BA2"/>
    <w:rsid w:val="00C66E64"/>
    <w:rsid w:val="00C70A7A"/>
    <w:rsid w:val="00C72078"/>
    <w:rsid w:val="00C72A48"/>
    <w:rsid w:val="00C73034"/>
    <w:rsid w:val="00C73134"/>
    <w:rsid w:val="00C73723"/>
    <w:rsid w:val="00C73BCC"/>
    <w:rsid w:val="00C73F4B"/>
    <w:rsid w:val="00C74261"/>
    <w:rsid w:val="00C74EC0"/>
    <w:rsid w:val="00C754BC"/>
    <w:rsid w:val="00C76092"/>
    <w:rsid w:val="00C760CE"/>
    <w:rsid w:val="00C760E7"/>
    <w:rsid w:val="00C76DC6"/>
    <w:rsid w:val="00C7707A"/>
    <w:rsid w:val="00C77EC8"/>
    <w:rsid w:val="00C800B1"/>
    <w:rsid w:val="00C8088A"/>
    <w:rsid w:val="00C80F31"/>
    <w:rsid w:val="00C81196"/>
    <w:rsid w:val="00C829C8"/>
    <w:rsid w:val="00C82E18"/>
    <w:rsid w:val="00C856A4"/>
    <w:rsid w:val="00C85905"/>
    <w:rsid w:val="00C85ADB"/>
    <w:rsid w:val="00C86851"/>
    <w:rsid w:val="00C87075"/>
    <w:rsid w:val="00C8777F"/>
    <w:rsid w:val="00C87DC8"/>
    <w:rsid w:val="00C87F54"/>
    <w:rsid w:val="00C90B84"/>
    <w:rsid w:val="00C9200F"/>
    <w:rsid w:val="00C925A4"/>
    <w:rsid w:val="00C92655"/>
    <w:rsid w:val="00C92D91"/>
    <w:rsid w:val="00C92F05"/>
    <w:rsid w:val="00C937DA"/>
    <w:rsid w:val="00C93B90"/>
    <w:rsid w:val="00C944EA"/>
    <w:rsid w:val="00C946DB"/>
    <w:rsid w:val="00C9517D"/>
    <w:rsid w:val="00C95E21"/>
    <w:rsid w:val="00C96AFE"/>
    <w:rsid w:val="00C97A07"/>
    <w:rsid w:val="00CA01AE"/>
    <w:rsid w:val="00CA085C"/>
    <w:rsid w:val="00CA10CC"/>
    <w:rsid w:val="00CA12F6"/>
    <w:rsid w:val="00CA189F"/>
    <w:rsid w:val="00CA1AED"/>
    <w:rsid w:val="00CA1B0A"/>
    <w:rsid w:val="00CA209C"/>
    <w:rsid w:val="00CA20EA"/>
    <w:rsid w:val="00CA226F"/>
    <w:rsid w:val="00CA2BDE"/>
    <w:rsid w:val="00CA2C8A"/>
    <w:rsid w:val="00CA2D47"/>
    <w:rsid w:val="00CA3AEB"/>
    <w:rsid w:val="00CA3EBE"/>
    <w:rsid w:val="00CA4778"/>
    <w:rsid w:val="00CA4DD7"/>
    <w:rsid w:val="00CA53DD"/>
    <w:rsid w:val="00CA5655"/>
    <w:rsid w:val="00CA595B"/>
    <w:rsid w:val="00CA5ECF"/>
    <w:rsid w:val="00CA6200"/>
    <w:rsid w:val="00CA633F"/>
    <w:rsid w:val="00CA7A8B"/>
    <w:rsid w:val="00CA7A9A"/>
    <w:rsid w:val="00CA7D24"/>
    <w:rsid w:val="00CA7EB2"/>
    <w:rsid w:val="00CB0292"/>
    <w:rsid w:val="00CB03D5"/>
    <w:rsid w:val="00CB0A9C"/>
    <w:rsid w:val="00CB0F54"/>
    <w:rsid w:val="00CB1844"/>
    <w:rsid w:val="00CB2C06"/>
    <w:rsid w:val="00CB2DF8"/>
    <w:rsid w:val="00CB3138"/>
    <w:rsid w:val="00CB3B2C"/>
    <w:rsid w:val="00CB42B6"/>
    <w:rsid w:val="00CB4809"/>
    <w:rsid w:val="00CB5528"/>
    <w:rsid w:val="00CB571C"/>
    <w:rsid w:val="00CB6E3B"/>
    <w:rsid w:val="00CB75BD"/>
    <w:rsid w:val="00CB7FA6"/>
    <w:rsid w:val="00CC045D"/>
    <w:rsid w:val="00CC0CA8"/>
    <w:rsid w:val="00CC14B7"/>
    <w:rsid w:val="00CC1AD7"/>
    <w:rsid w:val="00CC5596"/>
    <w:rsid w:val="00CC6B48"/>
    <w:rsid w:val="00CC70B4"/>
    <w:rsid w:val="00CD0529"/>
    <w:rsid w:val="00CD07DD"/>
    <w:rsid w:val="00CD3F0A"/>
    <w:rsid w:val="00CD3F32"/>
    <w:rsid w:val="00CD428D"/>
    <w:rsid w:val="00CD5AD4"/>
    <w:rsid w:val="00CD5E23"/>
    <w:rsid w:val="00CD66BF"/>
    <w:rsid w:val="00CD68D8"/>
    <w:rsid w:val="00CD6C01"/>
    <w:rsid w:val="00CD6CC8"/>
    <w:rsid w:val="00CD6DBB"/>
    <w:rsid w:val="00CD6F40"/>
    <w:rsid w:val="00CD70B2"/>
    <w:rsid w:val="00CD73C9"/>
    <w:rsid w:val="00CD7560"/>
    <w:rsid w:val="00CE01AB"/>
    <w:rsid w:val="00CE03C5"/>
    <w:rsid w:val="00CE0583"/>
    <w:rsid w:val="00CE0F58"/>
    <w:rsid w:val="00CE11E0"/>
    <w:rsid w:val="00CE27ED"/>
    <w:rsid w:val="00CE2A2C"/>
    <w:rsid w:val="00CE35D3"/>
    <w:rsid w:val="00CE38AE"/>
    <w:rsid w:val="00CE3B60"/>
    <w:rsid w:val="00CE402F"/>
    <w:rsid w:val="00CE48EC"/>
    <w:rsid w:val="00CE5C68"/>
    <w:rsid w:val="00CE6563"/>
    <w:rsid w:val="00CE750A"/>
    <w:rsid w:val="00CE7816"/>
    <w:rsid w:val="00CE7D28"/>
    <w:rsid w:val="00CF14B5"/>
    <w:rsid w:val="00CF1C52"/>
    <w:rsid w:val="00CF1D5F"/>
    <w:rsid w:val="00CF2347"/>
    <w:rsid w:val="00CF25D6"/>
    <w:rsid w:val="00CF329A"/>
    <w:rsid w:val="00CF32EB"/>
    <w:rsid w:val="00CF337E"/>
    <w:rsid w:val="00CF3818"/>
    <w:rsid w:val="00CF38F1"/>
    <w:rsid w:val="00CF3C97"/>
    <w:rsid w:val="00CF4F08"/>
    <w:rsid w:val="00CF54B8"/>
    <w:rsid w:val="00CF5F5A"/>
    <w:rsid w:val="00CF63F1"/>
    <w:rsid w:val="00CF7754"/>
    <w:rsid w:val="00CF7853"/>
    <w:rsid w:val="00CF78C3"/>
    <w:rsid w:val="00CF7FE4"/>
    <w:rsid w:val="00D0083D"/>
    <w:rsid w:val="00D00B44"/>
    <w:rsid w:val="00D00B5B"/>
    <w:rsid w:val="00D010A9"/>
    <w:rsid w:val="00D011A3"/>
    <w:rsid w:val="00D0145B"/>
    <w:rsid w:val="00D01BA4"/>
    <w:rsid w:val="00D024DD"/>
    <w:rsid w:val="00D027BA"/>
    <w:rsid w:val="00D02A7E"/>
    <w:rsid w:val="00D02CFE"/>
    <w:rsid w:val="00D031CE"/>
    <w:rsid w:val="00D032A8"/>
    <w:rsid w:val="00D03C51"/>
    <w:rsid w:val="00D04E9F"/>
    <w:rsid w:val="00D058A1"/>
    <w:rsid w:val="00D05AFB"/>
    <w:rsid w:val="00D07282"/>
    <w:rsid w:val="00D0747E"/>
    <w:rsid w:val="00D07DFD"/>
    <w:rsid w:val="00D07F87"/>
    <w:rsid w:val="00D100FF"/>
    <w:rsid w:val="00D10306"/>
    <w:rsid w:val="00D118BB"/>
    <w:rsid w:val="00D11B22"/>
    <w:rsid w:val="00D12BA6"/>
    <w:rsid w:val="00D12BE9"/>
    <w:rsid w:val="00D14393"/>
    <w:rsid w:val="00D149E3"/>
    <w:rsid w:val="00D1511E"/>
    <w:rsid w:val="00D15EF5"/>
    <w:rsid w:val="00D1665B"/>
    <w:rsid w:val="00D1712D"/>
    <w:rsid w:val="00D17D13"/>
    <w:rsid w:val="00D21604"/>
    <w:rsid w:val="00D22F31"/>
    <w:rsid w:val="00D22F40"/>
    <w:rsid w:val="00D23477"/>
    <w:rsid w:val="00D239E3"/>
    <w:rsid w:val="00D240F0"/>
    <w:rsid w:val="00D246ED"/>
    <w:rsid w:val="00D248DF"/>
    <w:rsid w:val="00D24D89"/>
    <w:rsid w:val="00D24F1F"/>
    <w:rsid w:val="00D25009"/>
    <w:rsid w:val="00D255BC"/>
    <w:rsid w:val="00D25F2A"/>
    <w:rsid w:val="00D2725B"/>
    <w:rsid w:val="00D27FCF"/>
    <w:rsid w:val="00D30130"/>
    <w:rsid w:val="00D308CB"/>
    <w:rsid w:val="00D30BD4"/>
    <w:rsid w:val="00D315DB"/>
    <w:rsid w:val="00D318A4"/>
    <w:rsid w:val="00D323C5"/>
    <w:rsid w:val="00D34490"/>
    <w:rsid w:val="00D34DB7"/>
    <w:rsid w:val="00D35248"/>
    <w:rsid w:val="00D37A53"/>
    <w:rsid w:val="00D40FD0"/>
    <w:rsid w:val="00D4236C"/>
    <w:rsid w:val="00D42779"/>
    <w:rsid w:val="00D43F66"/>
    <w:rsid w:val="00D456FA"/>
    <w:rsid w:val="00D458D5"/>
    <w:rsid w:val="00D472B2"/>
    <w:rsid w:val="00D5099D"/>
    <w:rsid w:val="00D51071"/>
    <w:rsid w:val="00D51266"/>
    <w:rsid w:val="00D5149D"/>
    <w:rsid w:val="00D51D1C"/>
    <w:rsid w:val="00D525DA"/>
    <w:rsid w:val="00D52663"/>
    <w:rsid w:val="00D53D40"/>
    <w:rsid w:val="00D540CB"/>
    <w:rsid w:val="00D542F4"/>
    <w:rsid w:val="00D5460E"/>
    <w:rsid w:val="00D54713"/>
    <w:rsid w:val="00D54924"/>
    <w:rsid w:val="00D549B7"/>
    <w:rsid w:val="00D55CFF"/>
    <w:rsid w:val="00D56354"/>
    <w:rsid w:val="00D61B2A"/>
    <w:rsid w:val="00D634CC"/>
    <w:rsid w:val="00D6473F"/>
    <w:rsid w:val="00D64A4A"/>
    <w:rsid w:val="00D64FB3"/>
    <w:rsid w:val="00D65B23"/>
    <w:rsid w:val="00D65C41"/>
    <w:rsid w:val="00D66132"/>
    <w:rsid w:val="00D666BC"/>
    <w:rsid w:val="00D6693B"/>
    <w:rsid w:val="00D66F42"/>
    <w:rsid w:val="00D67AF4"/>
    <w:rsid w:val="00D67DF7"/>
    <w:rsid w:val="00D728F6"/>
    <w:rsid w:val="00D72B0F"/>
    <w:rsid w:val="00D73193"/>
    <w:rsid w:val="00D74837"/>
    <w:rsid w:val="00D75442"/>
    <w:rsid w:val="00D754C3"/>
    <w:rsid w:val="00D758DB"/>
    <w:rsid w:val="00D763ED"/>
    <w:rsid w:val="00D76564"/>
    <w:rsid w:val="00D766A1"/>
    <w:rsid w:val="00D77AA9"/>
    <w:rsid w:val="00D80164"/>
    <w:rsid w:val="00D8099D"/>
    <w:rsid w:val="00D81C11"/>
    <w:rsid w:val="00D81CD9"/>
    <w:rsid w:val="00D82A6E"/>
    <w:rsid w:val="00D830C8"/>
    <w:rsid w:val="00D86153"/>
    <w:rsid w:val="00D86598"/>
    <w:rsid w:val="00D871D8"/>
    <w:rsid w:val="00D874DD"/>
    <w:rsid w:val="00D87B12"/>
    <w:rsid w:val="00D910D9"/>
    <w:rsid w:val="00D91156"/>
    <w:rsid w:val="00D91C9C"/>
    <w:rsid w:val="00D9241A"/>
    <w:rsid w:val="00D9277E"/>
    <w:rsid w:val="00D929FB"/>
    <w:rsid w:val="00D92BB9"/>
    <w:rsid w:val="00D93117"/>
    <w:rsid w:val="00D93129"/>
    <w:rsid w:val="00D9333D"/>
    <w:rsid w:val="00D9381D"/>
    <w:rsid w:val="00D943FF"/>
    <w:rsid w:val="00D9665E"/>
    <w:rsid w:val="00D9705E"/>
    <w:rsid w:val="00D972B2"/>
    <w:rsid w:val="00D9738A"/>
    <w:rsid w:val="00D97B94"/>
    <w:rsid w:val="00DA146B"/>
    <w:rsid w:val="00DA16CF"/>
    <w:rsid w:val="00DA1CC9"/>
    <w:rsid w:val="00DA2066"/>
    <w:rsid w:val="00DA212F"/>
    <w:rsid w:val="00DA2529"/>
    <w:rsid w:val="00DA2DD2"/>
    <w:rsid w:val="00DA2DEF"/>
    <w:rsid w:val="00DA429E"/>
    <w:rsid w:val="00DA44A8"/>
    <w:rsid w:val="00DA4709"/>
    <w:rsid w:val="00DA50A1"/>
    <w:rsid w:val="00DA63BB"/>
    <w:rsid w:val="00DA666E"/>
    <w:rsid w:val="00DA66A0"/>
    <w:rsid w:val="00DA66D4"/>
    <w:rsid w:val="00DA670D"/>
    <w:rsid w:val="00DA6957"/>
    <w:rsid w:val="00DA6A44"/>
    <w:rsid w:val="00DA76FF"/>
    <w:rsid w:val="00DB0BD5"/>
    <w:rsid w:val="00DB19AD"/>
    <w:rsid w:val="00DB2E0D"/>
    <w:rsid w:val="00DB2F84"/>
    <w:rsid w:val="00DB440D"/>
    <w:rsid w:val="00DB59D9"/>
    <w:rsid w:val="00DB5A74"/>
    <w:rsid w:val="00DB5EF1"/>
    <w:rsid w:val="00DB61C3"/>
    <w:rsid w:val="00DB7238"/>
    <w:rsid w:val="00DB7FC5"/>
    <w:rsid w:val="00DC0490"/>
    <w:rsid w:val="00DC0CA1"/>
    <w:rsid w:val="00DC167C"/>
    <w:rsid w:val="00DC2DAF"/>
    <w:rsid w:val="00DC2F4C"/>
    <w:rsid w:val="00DC3C8D"/>
    <w:rsid w:val="00DC55AE"/>
    <w:rsid w:val="00DC5996"/>
    <w:rsid w:val="00DC60B5"/>
    <w:rsid w:val="00DC7C8F"/>
    <w:rsid w:val="00DD1D96"/>
    <w:rsid w:val="00DD2EC1"/>
    <w:rsid w:val="00DD2FBB"/>
    <w:rsid w:val="00DD31E0"/>
    <w:rsid w:val="00DD370D"/>
    <w:rsid w:val="00DD3B6B"/>
    <w:rsid w:val="00DD3E30"/>
    <w:rsid w:val="00DD482A"/>
    <w:rsid w:val="00DD525E"/>
    <w:rsid w:val="00DD56B2"/>
    <w:rsid w:val="00DD5D4B"/>
    <w:rsid w:val="00DD6801"/>
    <w:rsid w:val="00DD7133"/>
    <w:rsid w:val="00DE1718"/>
    <w:rsid w:val="00DE243F"/>
    <w:rsid w:val="00DE2A5E"/>
    <w:rsid w:val="00DE2A96"/>
    <w:rsid w:val="00DE366A"/>
    <w:rsid w:val="00DE37BF"/>
    <w:rsid w:val="00DE3E3C"/>
    <w:rsid w:val="00DE447F"/>
    <w:rsid w:val="00DE4807"/>
    <w:rsid w:val="00DE483E"/>
    <w:rsid w:val="00DE4E77"/>
    <w:rsid w:val="00DE5855"/>
    <w:rsid w:val="00DE642D"/>
    <w:rsid w:val="00DE6E70"/>
    <w:rsid w:val="00DE7394"/>
    <w:rsid w:val="00DE7C9D"/>
    <w:rsid w:val="00DE7F4A"/>
    <w:rsid w:val="00DE7FE2"/>
    <w:rsid w:val="00DF066C"/>
    <w:rsid w:val="00DF0976"/>
    <w:rsid w:val="00DF0C15"/>
    <w:rsid w:val="00DF0F00"/>
    <w:rsid w:val="00DF486D"/>
    <w:rsid w:val="00DF4B0D"/>
    <w:rsid w:val="00DF4D25"/>
    <w:rsid w:val="00DF586D"/>
    <w:rsid w:val="00DF58A2"/>
    <w:rsid w:val="00DF5D87"/>
    <w:rsid w:val="00DF6A2E"/>
    <w:rsid w:val="00DF73B8"/>
    <w:rsid w:val="00DF7AE3"/>
    <w:rsid w:val="00E01110"/>
    <w:rsid w:val="00E01383"/>
    <w:rsid w:val="00E01A07"/>
    <w:rsid w:val="00E02086"/>
    <w:rsid w:val="00E022BC"/>
    <w:rsid w:val="00E03097"/>
    <w:rsid w:val="00E0382C"/>
    <w:rsid w:val="00E03DEE"/>
    <w:rsid w:val="00E05518"/>
    <w:rsid w:val="00E055D1"/>
    <w:rsid w:val="00E05A88"/>
    <w:rsid w:val="00E060D4"/>
    <w:rsid w:val="00E07672"/>
    <w:rsid w:val="00E079FE"/>
    <w:rsid w:val="00E103ED"/>
    <w:rsid w:val="00E10768"/>
    <w:rsid w:val="00E10A4D"/>
    <w:rsid w:val="00E10CCD"/>
    <w:rsid w:val="00E10DD3"/>
    <w:rsid w:val="00E11778"/>
    <w:rsid w:val="00E11B92"/>
    <w:rsid w:val="00E12CDC"/>
    <w:rsid w:val="00E137C7"/>
    <w:rsid w:val="00E1507F"/>
    <w:rsid w:val="00E150DE"/>
    <w:rsid w:val="00E15798"/>
    <w:rsid w:val="00E1631F"/>
    <w:rsid w:val="00E165D0"/>
    <w:rsid w:val="00E166F2"/>
    <w:rsid w:val="00E16C1E"/>
    <w:rsid w:val="00E16FAA"/>
    <w:rsid w:val="00E1739D"/>
    <w:rsid w:val="00E17616"/>
    <w:rsid w:val="00E17D85"/>
    <w:rsid w:val="00E207CC"/>
    <w:rsid w:val="00E20E9F"/>
    <w:rsid w:val="00E20FDD"/>
    <w:rsid w:val="00E21574"/>
    <w:rsid w:val="00E21F9A"/>
    <w:rsid w:val="00E22033"/>
    <w:rsid w:val="00E2211B"/>
    <w:rsid w:val="00E22564"/>
    <w:rsid w:val="00E228DC"/>
    <w:rsid w:val="00E2305C"/>
    <w:rsid w:val="00E23567"/>
    <w:rsid w:val="00E23956"/>
    <w:rsid w:val="00E23E9C"/>
    <w:rsid w:val="00E24F5D"/>
    <w:rsid w:val="00E26897"/>
    <w:rsid w:val="00E27141"/>
    <w:rsid w:val="00E273C9"/>
    <w:rsid w:val="00E27685"/>
    <w:rsid w:val="00E30FBB"/>
    <w:rsid w:val="00E313DA"/>
    <w:rsid w:val="00E31A52"/>
    <w:rsid w:val="00E3299E"/>
    <w:rsid w:val="00E33173"/>
    <w:rsid w:val="00E338D6"/>
    <w:rsid w:val="00E33A29"/>
    <w:rsid w:val="00E342A5"/>
    <w:rsid w:val="00E35785"/>
    <w:rsid w:val="00E360DD"/>
    <w:rsid w:val="00E375D1"/>
    <w:rsid w:val="00E402F5"/>
    <w:rsid w:val="00E4030B"/>
    <w:rsid w:val="00E418A3"/>
    <w:rsid w:val="00E41923"/>
    <w:rsid w:val="00E42BEA"/>
    <w:rsid w:val="00E42DC6"/>
    <w:rsid w:val="00E43BC1"/>
    <w:rsid w:val="00E44137"/>
    <w:rsid w:val="00E443E6"/>
    <w:rsid w:val="00E44C7B"/>
    <w:rsid w:val="00E4516B"/>
    <w:rsid w:val="00E451E4"/>
    <w:rsid w:val="00E452AD"/>
    <w:rsid w:val="00E46A89"/>
    <w:rsid w:val="00E47683"/>
    <w:rsid w:val="00E47EA7"/>
    <w:rsid w:val="00E50538"/>
    <w:rsid w:val="00E505C4"/>
    <w:rsid w:val="00E51492"/>
    <w:rsid w:val="00E51DE1"/>
    <w:rsid w:val="00E525D4"/>
    <w:rsid w:val="00E5321F"/>
    <w:rsid w:val="00E54567"/>
    <w:rsid w:val="00E54604"/>
    <w:rsid w:val="00E55112"/>
    <w:rsid w:val="00E56A46"/>
    <w:rsid w:val="00E56F29"/>
    <w:rsid w:val="00E57428"/>
    <w:rsid w:val="00E6013F"/>
    <w:rsid w:val="00E605F7"/>
    <w:rsid w:val="00E60B2C"/>
    <w:rsid w:val="00E612B9"/>
    <w:rsid w:val="00E62A9C"/>
    <w:rsid w:val="00E62B24"/>
    <w:rsid w:val="00E6457E"/>
    <w:rsid w:val="00E64DC7"/>
    <w:rsid w:val="00E650D2"/>
    <w:rsid w:val="00E6562D"/>
    <w:rsid w:val="00E6619D"/>
    <w:rsid w:val="00E6662F"/>
    <w:rsid w:val="00E666FD"/>
    <w:rsid w:val="00E66D04"/>
    <w:rsid w:val="00E677F8"/>
    <w:rsid w:val="00E70BCC"/>
    <w:rsid w:val="00E71EBD"/>
    <w:rsid w:val="00E72518"/>
    <w:rsid w:val="00E73218"/>
    <w:rsid w:val="00E74407"/>
    <w:rsid w:val="00E746C3"/>
    <w:rsid w:val="00E75301"/>
    <w:rsid w:val="00E7542B"/>
    <w:rsid w:val="00E755EF"/>
    <w:rsid w:val="00E757B1"/>
    <w:rsid w:val="00E75825"/>
    <w:rsid w:val="00E75978"/>
    <w:rsid w:val="00E75CBB"/>
    <w:rsid w:val="00E76AF8"/>
    <w:rsid w:val="00E76BC3"/>
    <w:rsid w:val="00E76C0C"/>
    <w:rsid w:val="00E77308"/>
    <w:rsid w:val="00E77AF4"/>
    <w:rsid w:val="00E77D2D"/>
    <w:rsid w:val="00E80F0B"/>
    <w:rsid w:val="00E80F8D"/>
    <w:rsid w:val="00E81217"/>
    <w:rsid w:val="00E812D7"/>
    <w:rsid w:val="00E81570"/>
    <w:rsid w:val="00E817EF"/>
    <w:rsid w:val="00E81A70"/>
    <w:rsid w:val="00E82842"/>
    <w:rsid w:val="00E833A4"/>
    <w:rsid w:val="00E84261"/>
    <w:rsid w:val="00E847D6"/>
    <w:rsid w:val="00E84835"/>
    <w:rsid w:val="00E855ED"/>
    <w:rsid w:val="00E858BA"/>
    <w:rsid w:val="00E862BC"/>
    <w:rsid w:val="00E86B9D"/>
    <w:rsid w:val="00E86E78"/>
    <w:rsid w:val="00E87791"/>
    <w:rsid w:val="00E877C2"/>
    <w:rsid w:val="00E91509"/>
    <w:rsid w:val="00E9243A"/>
    <w:rsid w:val="00E92B1D"/>
    <w:rsid w:val="00E9474C"/>
    <w:rsid w:val="00E9480A"/>
    <w:rsid w:val="00E94A3F"/>
    <w:rsid w:val="00E94FC1"/>
    <w:rsid w:val="00E95132"/>
    <w:rsid w:val="00E952CB"/>
    <w:rsid w:val="00E953BD"/>
    <w:rsid w:val="00E96F00"/>
    <w:rsid w:val="00E972C4"/>
    <w:rsid w:val="00E97302"/>
    <w:rsid w:val="00E9760E"/>
    <w:rsid w:val="00E97D4A"/>
    <w:rsid w:val="00EA0146"/>
    <w:rsid w:val="00EA0A30"/>
    <w:rsid w:val="00EA1CE8"/>
    <w:rsid w:val="00EA229A"/>
    <w:rsid w:val="00EA22DD"/>
    <w:rsid w:val="00EA2D0A"/>
    <w:rsid w:val="00EA2DB0"/>
    <w:rsid w:val="00EA4C5E"/>
    <w:rsid w:val="00EA5B0B"/>
    <w:rsid w:val="00EA5D62"/>
    <w:rsid w:val="00EA5F56"/>
    <w:rsid w:val="00EA63D2"/>
    <w:rsid w:val="00EA64C7"/>
    <w:rsid w:val="00EA6867"/>
    <w:rsid w:val="00EA6883"/>
    <w:rsid w:val="00EA697C"/>
    <w:rsid w:val="00EA72E1"/>
    <w:rsid w:val="00EA733F"/>
    <w:rsid w:val="00EA7A48"/>
    <w:rsid w:val="00EA7A70"/>
    <w:rsid w:val="00EA7DEA"/>
    <w:rsid w:val="00EA7EFB"/>
    <w:rsid w:val="00EB068D"/>
    <w:rsid w:val="00EB1285"/>
    <w:rsid w:val="00EB14B5"/>
    <w:rsid w:val="00EB1768"/>
    <w:rsid w:val="00EB2151"/>
    <w:rsid w:val="00EB269A"/>
    <w:rsid w:val="00EB2884"/>
    <w:rsid w:val="00EB3F0C"/>
    <w:rsid w:val="00EB4B11"/>
    <w:rsid w:val="00EB5F75"/>
    <w:rsid w:val="00EB7C88"/>
    <w:rsid w:val="00EC0009"/>
    <w:rsid w:val="00EC0440"/>
    <w:rsid w:val="00EC09CB"/>
    <w:rsid w:val="00EC18C9"/>
    <w:rsid w:val="00EC1909"/>
    <w:rsid w:val="00EC1CF6"/>
    <w:rsid w:val="00EC3360"/>
    <w:rsid w:val="00EC34A6"/>
    <w:rsid w:val="00EC3F5D"/>
    <w:rsid w:val="00EC6981"/>
    <w:rsid w:val="00EC69FA"/>
    <w:rsid w:val="00EC6B6A"/>
    <w:rsid w:val="00EC6C85"/>
    <w:rsid w:val="00EC6C9A"/>
    <w:rsid w:val="00EC76A6"/>
    <w:rsid w:val="00EC7E12"/>
    <w:rsid w:val="00ED0292"/>
    <w:rsid w:val="00ED0667"/>
    <w:rsid w:val="00ED103A"/>
    <w:rsid w:val="00ED179F"/>
    <w:rsid w:val="00ED274C"/>
    <w:rsid w:val="00ED5E79"/>
    <w:rsid w:val="00ED626C"/>
    <w:rsid w:val="00ED64A2"/>
    <w:rsid w:val="00ED6635"/>
    <w:rsid w:val="00ED689F"/>
    <w:rsid w:val="00ED6DEF"/>
    <w:rsid w:val="00ED6EB2"/>
    <w:rsid w:val="00ED7450"/>
    <w:rsid w:val="00EE1A84"/>
    <w:rsid w:val="00EE27C9"/>
    <w:rsid w:val="00EE31D3"/>
    <w:rsid w:val="00EE4FE7"/>
    <w:rsid w:val="00EE5310"/>
    <w:rsid w:val="00EE5BCA"/>
    <w:rsid w:val="00EE5D03"/>
    <w:rsid w:val="00EE5F6F"/>
    <w:rsid w:val="00EE6322"/>
    <w:rsid w:val="00EE6F38"/>
    <w:rsid w:val="00EE79A8"/>
    <w:rsid w:val="00EF000A"/>
    <w:rsid w:val="00EF0DA8"/>
    <w:rsid w:val="00EF161D"/>
    <w:rsid w:val="00EF178C"/>
    <w:rsid w:val="00EF23C7"/>
    <w:rsid w:val="00EF3A30"/>
    <w:rsid w:val="00EF431E"/>
    <w:rsid w:val="00EF54AB"/>
    <w:rsid w:val="00EF553F"/>
    <w:rsid w:val="00EF5F22"/>
    <w:rsid w:val="00EF678A"/>
    <w:rsid w:val="00EF67A4"/>
    <w:rsid w:val="00EF77BC"/>
    <w:rsid w:val="00F00322"/>
    <w:rsid w:val="00F00A2B"/>
    <w:rsid w:val="00F00DF2"/>
    <w:rsid w:val="00F0101B"/>
    <w:rsid w:val="00F0291B"/>
    <w:rsid w:val="00F02B5D"/>
    <w:rsid w:val="00F039AE"/>
    <w:rsid w:val="00F04995"/>
    <w:rsid w:val="00F049B3"/>
    <w:rsid w:val="00F04BF6"/>
    <w:rsid w:val="00F050CE"/>
    <w:rsid w:val="00F06594"/>
    <w:rsid w:val="00F06E1A"/>
    <w:rsid w:val="00F07365"/>
    <w:rsid w:val="00F10314"/>
    <w:rsid w:val="00F103CB"/>
    <w:rsid w:val="00F10C3B"/>
    <w:rsid w:val="00F11604"/>
    <w:rsid w:val="00F11A41"/>
    <w:rsid w:val="00F11BA4"/>
    <w:rsid w:val="00F124CA"/>
    <w:rsid w:val="00F130C7"/>
    <w:rsid w:val="00F15857"/>
    <w:rsid w:val="00F161E8"/>
    <w:rsid w:val="00F16631"/>
    <w:rsid w:val="00F16A40"/>
    <w:rsid w:val="00F16D93"/>
    <w:rsid w:val="00F17A83"/>
    <w:rsid w:val="00F20997"/>
    <w:rsid w:val="00F21210"/>
    <w:rsid w:val="00F2183F"/>
    <w:rsid w:val="00F21944"/>
    <w:rsid w:val="00F22838"/>
    <w:rsid w:val="00F23E0A"/>
    <w:rsid w:val="00F24755"/>
    <w:rsid w:val="00F24D15"/>
    <w:rsid w:val="00F26099"/>
    <w:rsid w:val="00F26752"/>
    <w:rsid w:val="00F268A2"/>
    <w:rsid w:val="00F26DBF"/>
    <w:rsid w:val="00F27156"/>
    <w:rsid w:val="00F27494"/>
    <w:rsid w:val="00F27B29"/>
    <w:rsid w:val="00F30B9C"/>
    <w:rsid w:val="00F30F3C"/>
    <w:rsid w:val="00F31C83"/>
    <w:rsid w:val="00F3346A"/>
    <w:rsid w:val="00F33992"/>
    <w:rsid w:val="00F33C46"/>
    <w:rsid w:val="00F34365"/>
    <w:rsid w:val="00F344E3"/>
    <w:rsid w:val="00F35121"/>
    <w:rsid w:val="00F35B9D"/>
    <w:rsid w:val="00F362DA"/>
    <w:rsid w:val="00F36FF7"/>
    <w:rsid w:val="00F373BB"/>
    <w:rsid w:val="00F37ADC"/>
    <w:rsid w:val="00F40A5D"/>
    <w:rsid w:val="00F40E4A"/>
    <w:rsid w:val="00F4144C"/>
    <w:rsid w:val="00F415EF"/>
    <w:rsid w:val="00F41704"/>
    <w:rsid w:val="00F4211A"/>
    <w:rsid w:val="00F42189"/>
    <w:rsid w:val="00F43091"/>
    <w:rsid w:val="00F43114"/>
    <w:rsid w:val="00F44038"/>
    <w:rsid w:val="00F446AD"/>
    <w:rsid w:val="00F462C6"/>
    <w:rsid w:val="00F46B18"/>
    <w:rsid w:val="00F46F18"/>
    <w:rsid w:val="00F47370"/>
    <w:rsid w:val="00F50C17"/>
    <w:rsid w:val="00F53FB8"/>
    <w:rsid w:val="00F53FC1"/>
    <w:rsid w:val="00F5406D"/>
    <w:rsid w:val="00F54CB6"/>
    <w:rsid w:val="00F556CE"/>
    <w:rsid w:val="00F55B1C"/>
    <w:rsid w:val="00F56BCF"/>
    <w:rsid w:val="00F6083A"/>
    <w:rsid w:val="00F60BF0"/>
    <w:rsid w:val="00F6143F"/>
    <w:rsid w:val="00F62B27"/>
    <w:rsid w:val="00F637FD"/>
    <w:rsid w:val="00F647A0"/>
    <w:rsid w:val="00F64938"/>
    <w:rsid w:val="00F653C0"/>
    <w:rsid w:val="00F65490"/>
    <w:rsid w:val="00F65860"/>
    <w:rsid w:val="00F65E59"/>
    <w:rsid w:val="00F66B48"/>
    <w:rsid w:val="00F66DD6"/>
    <w:rsid w:val="00F675D6"/>
    <w:rsid w:val="00F67E74"/>
    <w:rsid w:val="00F704D3"/>
    <w:rsid w:val="00F70916"/>
    <w:rsid w:val="00F711A4"/>
    <w:rsid w:val="00F71209"/>
    <w:rsid w:val="00F71438"/>
    <w:rsid w:val="00F71B4F"/>
    <w:rsid w:val="00F72274"/>
    <w:rsid w:val="00F73165"/>
    <w:rsid w:val="00F73A58"/>
    <w:rsid w:val="00F748AA"/>
    <w:rsid w:val="00F77188"/>
    <w:rsid w:val="00F77A8D"/>
    <w:rsid w:val="00F80346"/>
    <w:rsid w:val="00F80495"/>
    <w:rsid w:val="00F805AB"/>
    <w:rsid w:val="00F80659"/>
    <w:rsid w:val="00F807EF"/>
    <w:rsid w:val="00F80CDE"/>
    <w:rsid w:val="00F80E44"/>
    <w:rsid w:val="00F819E3"/>
    <w:rsid w:val="00F82377"/>
    <w:rsid w:val="00F83743"/>
    <w:rsid w:val="00F839E1"/>
    <w:rsid w:val="00F8405D"/>
    <w:rsid w:val="00F841BF"/>
    <w:rsid w:val="00F84379"/>
    <w:rsid w:val="00F84C72"/>
    <w:rsid w:val="00F852CC"/>
    <w:rsid w:val="00F8557C"/>
    <w:rsid w:val="00F8595A"/>
    <w:rsid w:val="00F86034"/>
    <w:rsid w:val="00F869C9"/>
    <w:rsid w:val="00F86A85"/>
    <w:rsid w:val="00F86C1A"/>
    <w:rsid w:val="00F876E0"/>
    <w:rsid w:val="00F87CEC"/>
    <w:rsid w:val="00F90F69"/>
    <w:rsid w:val="00F91063"/>
    <w:rsid w:val="00F91549"/>
    <w:rsid w:val="00F9217C"/>
    <w:rsid w:val="00F92480"/>
    <w:rsid w:val="00F92708"/>
    <w:rsid w:val="00F932F1"/>
    <w:rsid w:val="00F93427"/>
    <w:rsid w:val="00F934EC"/>
    <w:rsid w:val="00F93D71"/>
    <w:rsid w:val="00F94584"/>
    <w:rsid w:val="00F95A38"/>
    <w:rsid w:val="00F95F2F"/>
    <w:rsid w:val="00F96075"/>
    <w:rsid w:val="00F96266"/>
    <w:rsid w:val="00F962BE"/>
    <w:rsid w:val="00F971CD"/>
    <w:rsid w:val="00F97764"/>
    <w:rsid w:val="00FA0DA1"/>
    <w:rsid w:val="00FA0DAD"/>
    <w:rsid w:val="00FA1614"/>
    <w:rsid w:val="00FA16B4"/>
    <w:rsid w:val="00FA19F1"/>
    <w:rsid w:val="00FA1B32"/>
    <w:rsid w:val="00FA3116"/>
    <w:rsid w:val="00FA32A9"/>
    <w:rsid w:val="00FA3801"/>
    <w:rsid w:val="00FA3B94"/>
    <w:rsid w:val="00FA421C"/>
    <w:rsid w:val="00FA4B82"/>
    <w:rsid w:val="00FA4FC5"/>
    <w:rsid w:val="00FA5585"/>
    <w:rsid w:val="00FA56FF"/>
    <w:rsid w:val="00FA5D3C"/>
    <w:rsid w:val="00FA7859"/>
    <w:rsid w:val="00FA7918"/>
    <w:rsid w:val="00FA7EFD"/>
    <w:rsid w:val="00FB1682"/>
    <w:rsid w:val="00FB20B9"/>
    <w:rsid w:val="00FB223E"/>
    <w:rsid w:val="00FB2E6E"/>
    <w:rsid w:val="00FB2F6E"/>
    <w:rsid w:val="00FB3B70"/>
    <w:rsid w:val="00FB644B"/>
    <w:rsid w:val="00FB69AA"/>
    <w:rsid w:val="00FB6BB5"/>
    <w:rsid w:val="00FB744F"/>
    <w:rsid w:val="00FB76C8"/>
    <w:rsid w:val="00FC1393"/>
    <w:rsid w:val="00FC1B13"/>
    <w:rsid w:val="00FC2DF7"/>
    <w:rsid w:val="00FC2F8B"/>
    <w:rsid w:val="00FC3284"/>
    <w:rsid w:val="00FC3822"/>
    <w:rsid w:val="00FC4822"/>
    <w:rsid w:val="00FC5FC1"/>
    <w:rsid w:val="00FC652D"/>
    <w:rsid w:val="00FC7BFD"/>
    <w:rsid w:val="00FD0F0C"/>
    <w:rsid w:val="00FD1591"/>
    <w:rsid w:val="00FD2012"/>
    <w:rsid w:val="00FD2295"/>
    <w:rsid w:val="00FD2772"/>
    <w:rsid w:val="00FD2AD7"/>
    <w:rsid w:val="00FD305A"/>
    <w:rsid w:val="00FD36C0"/>
    <w:rsid w:val="00FD3EA2"/>
    <w:rsid w:val="00FD4945"/>
    <w:rsid w:val="00FD6EE6"/>
    <w:rsid w:val="00FD7DD7"/>
    <w:rsid w:val="00FE16BA"/>
    <w:rsid w:val="00FE298C"/>
    <w:rsid w:val="00FE2BCD"/>
    <w:rsid w:val="00FE2C34"/>
    <w:rsid w:val="00FE359C"/>
    <w:rsid w:val="00FE3CE8"/>
    <w:rsid w:val="00FE45ED"/>
    <w:rsid w:val="00FE54AD"/>
    <w:rsid w:val="00FE5C11"/>
    <w:rsid w:val="00FE5EBD"/>
    <w:rsid w:val="00FF2503"/>
    <w:rsid w:val="00FF3C32"/>
    <w:rsid w:val="00FF489E"/>
    <w:rsid w:val="00FF51A4"/>
    <w:rsid w:val="00FF5965"/>
    <w:rsid w:val="00FF6974"/>
    <w:rsid w:val="00FF6CE7"/>
    <w:rsid w:val="00FF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  <w:rPr>
      <w:rFonts w:ascii="Arial" w:hAnsi="Arial" w:cs="Arial"/>
      <w:color w:val="auto"/>
      <w:sz w:val="22"/>
      <w:szCs w:val="22"/>
      <w:u w:val="single"/>
      <w:lang w:val="el-GR"/>
    </w:rPr>
  </w:style>
  <w:style w:type="character" w:customStyle="1" w:styleId="BodyTextChar">
    <w:name w:val="Body Text Char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1F2F1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1F2F12"/>
    <w:rPr>
      <w:b/>
      <w:bCs/>
      <w:color w:val="000000"/>
    </w:rPr>
  </w:style>
  <w:style w:type="character" w:styleId="EndnoteReference">
    <w:name w:val="endnote reference"/>
    <w:uiPriority w:val="99"/>
    <w:semiHidden/>
    <w:rsid w:val="001F2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  <w:rPr>
      <w:rFonts w:ascii="Arial" w:hAnsi="Arial" w:cs="Arial"/>
      <w:color w:val="auto"/>
      <w:sz w:val="22"/>
      <w:szCs w:val="22"/>
      <w:u w:val="single"/>
      <w:lang w:val="el-GR"/>
    </w:rPr>
  </w:style>
  <w:style w:type="character" w:customStyle="1" w:styleId="BodyTextChar">
    <w:name w:val="Body Text Char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1F2F1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1F2F12"/>
    <w:rPr>
      <w:b/>
      <w:bCs/>
      <w:color w:val="000000"/>
    </w:rPr>
  </w:style>
  <w:style w:type="character" w:styleId="EndnoteReference">
    <w:name w:val="endnote reference"/>
    <w:uiPriority w:val="99"/>
    <w:semiHidden/>
    <w:rsid w:val="001F2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5%20registered%20unemployed-monthly%20reports\October%202015\Graphs%20October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5%20registered%20unemployed-monthly%20reports\October%202015\Graphs%20October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72727271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31"/>
          <c:h val="0.4673847651066097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'!$A$46:$B$59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'total and gender '!$D$46:$D$59</c:f>
              <c:numCache>
                <c:formatCode>General</c:formatCode>
                <c:ptCount val="14"/>
                <c:pt idx="0">
                  <c:v>21682</c:v>
                </c:pt>
                <c:pt idx="1">
                  <c:v>21275</c:v>
                </c:pt>
                <c:pt idx="2">
                  <c:v>24461</c:v>
                </c:pt>
                <c:pt idx="3">
                  <c:v>24677</c:v>
                </c:pt>
                <c:pt idx="4">
                  <c:v>25915</c:v>
                </c:pt>
                <c:pt idx="5">
                  <c:v>26127</c:v>
                </c:pt>
                <c:pt idx="6">
                  <c:v>24815</c:v>
                </c:pt>
                <c:pt idx="7">
                  <c:v>22210</c:v>
                </c:pt>
                <c:pt idx="8">
                  <c:v>20724</c:v>
                </c:pt>
                <c:pt idx="9">
                  <c:v>20288</c:v>
                </c:pt>
                <c:pt idx="10">
                  <c:v>20295</c:v>
                </c:pt>
                <c:pt idx="11">
                  <c:v>19737</c:v>
                </c:pt>
                <c:pt idx="12">
                  <c:v>19379</c:v>
                </c:pt>
                <c:pt idx="13">
                  <c:v>19032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spPr>
            <a:ln>
              <a:gradFill>
                <a:gsLst>
                  <a:gs pos="0">
                    <a:srgbClr val="000082"/>
                  </a:gs>
                  <a:gs pos="30000">
                    <a:srgbClr val="66008F"/>
                  </a:gs>
                  <a:gs pos="64999">
                    <a:srgbClr val="BA0066"/>
                  </a:gs>
                  <a:gs pos="89999">
                    <a:srgbClr val="FF0000"/>
                  </a:gs>
                  <a:gs pos="100000">
                    <a:srgbClr val="FF8200"/>
                  </a:gs>
                </a:gsLst>
                <a:lin ang="5400000" scaled="0"/>
              </a:gradFill>
            </a:ln>
          </c:spPr>
          <c:cat>
            <c:multiLvlStrRef>
              <c:f>'total and gender '!$A$46:$B$59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'total and gender '!$E$46:$E$59</c:f>
              <c:numCache>
                <c:formatCode>General</c:formatCode>
                <c:ptCount val="14"/>
                <c:pt idx="0">
                  <c:v>21335</c:v>
                </c:pt>
                <c:pt idx="1">
                  <c:v>20059</c:v>
                </c:pt>
                <c:pt idx="2">
                  <c:v>23142</c:v>
                </c:pt>
                <c:pt idx="3">
                  <c:v>23209</c:v>
                </c:pt>
                <c:pt idx="4">
                  <c:v>24124</c:v>
                </c:pt>
                <c:pt idx="5">
                  <c:v>24113</c:v>
                </c:pt>
                <c:pt idx="6">
                  <c:v>23018</c:v>
                </c:pt>
                <c:pt idx="7">
                  <c:v>20341</c:v>
                </c:pt>
                <c:pt idx="8">
                  <c:v>18948</c:v>
                </c:pt>
                <c:pt idx="9">
                  <c:v>20588</c:v>
                </c:pt>
                <c:pt idx="10">
                  <c:v>21881</c:v>
                </c:pt>
                <c:pt idx="11">
                  <c:v>21251</c:v>
                </c:pt>
                <c:pt idx="12">
                  <c:v>18986</c:v>
                </c:pt>
                <c:pt idx="13">
                  <c:v>17984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'!$A$46:$B$59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'total and gender '!$C$46:$C$59</c:f>
              <c:numCache>
                <c:formatCode>#,##0</c:formatCode>
                <c:ptCount val="14"/>
                <c:pt idx="0">
                  <c:v>43017</c:v>
                </c:pt>
                <c:pt idx="1">
                  <c:v>41334</c:v>
                </c:pt>
                <c:pt idx="2">
                  <c:v>47603</c:v>
                </c:pt>
                <c:pt idx="3">
                  <c:v>47886</c:v>
                </c:pt>
                <c:pt idx="4">
                  <c:v>50039</c:v>
                </c:pt>
                <c:pt idx="5">
                  <c:v>50240</c:v>
                </c:pt>
                <c:pt idx="6">
                  <c:v>47833</c:v>
                </c:pt>
                <c:pt idx="7">
                  <c:v>42551</c:v>
                </c:pt>
                <c:pt idx="8">
                  <c:v>39672</c:v>
                </c:pt>
                <c:pt idx="9">
                  <c:v>40876</c:v>
                </c:pt>
                <c:pt idx="10">
                  <c:v>42176</c:v>
                </c:pt>
                <c:pt idx="11">
                  <c:v>40988</c:v>
                </c:pt>
                <c:pt idx="12">
                  <c:v>38365</c:v>
                </c:pt>
                <c:pt idx="13">
                  <c:v>37016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712384"/>
        <c:axId val="137713920"/>
      </c:lineChart>
      <c:catAx>
        <c:axId val="137712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7713920"/>
        <c:crosses val="autoZero"/>
        <c:auto val="1"/>
        <c:lblAlgn val="ctr"/>
        <c:lblOffset val="100"/>
        <c:noMultiLvlLbl val="0"/>
      </c:catAx>
      <c:valAx>
        <c:axId val="137713920"/>
        <c:scaling>
          <c:orientation val="minMax"/>
          <c:max val="55000"/>
          <c:min val="15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712384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l-G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1978021978021994"/>
          <c:y val="3.70370370370370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392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'!$AH$1:$AW$2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'επαρχία '!$AH$3:$AW$3</c:f>
              <c:numCache>
                <c:formatCode>General</c:formatCode>
                <c:ptCount val="14"/>
                <c:pt idx="0">
                  <c:v>15845</c:v>
                </c:pt>
                <c:pt idx="1">
                  <c:v>14712</c:v>
                </c:pt>
                <c:pt idx="2">
                  <c:v>14325</c:v>
                </c:pt>
                <c:pt idx="3">
                  <c:v>13878</c:v>
                </c:pt>
                <c:pt idx="4">
                  <c:v>14385</c:v>
                </c:pt>
                <c:pt idx="5">
                  <c:v>14486</c:v>
                </c:pt>
                <c:pt idx="6">
                  <c:v>14025</c:v>
                </c:pt>
                <c:pt idx="7">
                  <c:v>13601</c:v>
                </c:pt>
                <c:pt idx="8">
                  <c:v>13603</c:v>
                </c:pt>
                <c:pt idx="9">
                  <c:v>14270</c:v>
                </c:pt>
                <c:pt idx="10">
                  <c:v>15060</c:v>
                </c:pt>
                <c:pt idx="11">
                  <c:v>14873</c:v>
                </c:pt>
                <c:pt idx="12">
                  <c:v>13839</c:v>
                </c:pt>
                <c:pt idx="13">
                  <c:v>12796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'!$AH$1:$AW$2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'επαρχία '!$AH$4:$AW$4</c:f>
              <c:numCache>
                <c:formatCode>General</c:formatCode>
                <c:ptCount val="14"/>
                <c:pt idx="0">
                  <c:v>1749</c:v>
                </c:pt>
                <c:pt idx="1">
                  <c:v>2020</c:v>
                </c:pt>
                <c:pt idx="2">
                  <c:v>5455</c:v>
                </c:pt>
                <c:pt idx="3">
                  <c:v>5969</c:v>
                </c:pt>
                <c:pt idx="4">
                  <c:v>6217</c:v>
                </c:pt>
                <c:pt idx="5">
                  <c:v>6249</c:v>
                </c:pt>
                <c:pt idx="6">
                  <c:v>5577</c:v>
                </c:pt>
                <c:pt idx="7">
                  <c:v>3322</c:v>
                </c:pt>
                <c:pt idx="8">
                  <c:v>1798</c:v>
                </c:pt>
                <c:pt idx="9">
                  <c:v>1631</c:v>
                </c:pt>
                <c:pt idx="10">
                  <c:v>1649</c:v>
                </c:pt>
                <c:pt idx="11">
                  <c:v>1549</c:v>
                </c:pt>
                <c:pt idx="12">
                  <c:v>1405</c:v>
                </c:pt>
                <c:pt idx="13">
                  <c:v>1640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'!$AH$1:$AW$2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'επαρχία '!$AH$5:$AW$5</c:f>
              <c:numCache>
                <c:formatCode>General</c:formatCode>
                <c:ptCount val="14"/>
                <c:pt idx="0">
                  <c:v>8249</c:v>
                </c:pt>
                <c:pt idx="1">
                  <c:v>8086</c:v>
                </c:pt>
                <c:pt idx="2">
                  <c:v>9343</c:v>
                </c:pt>
                <c:pt idx="3">
                  <c:v>9430</c:v>
                </c:pt>
                <c:pt idx="4">
                  <c:v>9843</c:v>
                </c:pt>
                <c:pt idx="5">
                  <c:v>9865</c:v>
                </c:pt>
                <c:pt idx="6">
                  <c:v>9490</c:v>
                </c:pt>
                <c:pt idx="7">
                  <c:v>8468</c:v>
                </c:pt>
                <c:pt idx="8">
                  <c:v>7808</c:v>
                </c:pt>
                <c:pt idx="9">
                  <c:v>8035</c:v>
                </c:pt>
                <c:pt idx="10">
                  <c:v>8048</c:v>
                </c:pt>
                <c:pt idx="11">
                  <c:v>7784</c:v>
                </c:pt>
                <c:pt idx="12">
                  <c:v>7356</c:v>
                </c:pt>
                <c:pt idx="13">
                  <c:v>7138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'!$AH$1:$AW$2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'επαρχία '!$AH$6:$AW$6</c:f>
              <c:numCache>
                <c:formatCode>General</c:formatCode>
                <c:ptCount val="14"/>
                <c:pt idx="0">
                  <c:v>12553</c:v>
                </c:pt>
                <c:pt idx="1">
                  <c:v>11960</c:v>
                </c:pt>
                <c:pt idx="2">
                  <c:v>12428</c:v>
                </c:pt>
                <c:pt idx="3">
                  <c:v>12046</c:v>
                </c:pt>
                <c:pt idx="4">
                  <c:v>12621</c:v>
                </c:pt>
                <c:pt idx="5">
                  <c:v>12667</c:v>
                </c:pt>
                <c:pt idx="6">
                  <c:v>12319</c:v>
                </c:pt>
                <c:pt idx="7">
                  <c:v>11824</c:v>
                </c:pt>
                <c:pt idx="8">
                  <c:v>11763</c:v>
                </c:pt>
                <c:pt idx="9">
                  <c:v>12391</c:v>
                </c:pt>
                <c:pt idx="10">
                  <c:v>12962</c:v>
                </c:pt>
                <c:pt idx="11">
                  <c:v>12435</c:v>
                </c:pt>
                <c:pt idx="12">
                  <c:v>11625</c:v>
                </c:pt>
                <c:pt idx="13">
                  <c:v>11287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'!$AH$1:$AW$2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'επαρχία '!$AH$7:$AW$7</c:f>
              <c:numCache>
                <c:formatCode>General</c:formatCode>
                <c:ptCount val="14"/>
                <c:pt idx="0">
                  <c:v>4621</c:v>
                </c:pt>
                <c:pt idx="1">
                  <c:v>4556</c:v>
                </c:pt>
                <c:pt idx="2">
                  <c:v>6052</c:v>
                </c:pt>
                <c:pt idx="3">
                  <c:v>6563</c:v>
                </c:pt>
                <c:pt idx="4">
                  <c:v>6973</c:v>
                </c:pt>
                <c:pt idx="5">
                  <c:v>6973</c:v>
                </c:pt>
                <c:pt idx="6">
                  <c:v>6422</c:v>
                </c:pt>
                <c:pt idx="7">
                  <c:v>5336</c:v>
                </c:pt>
                <c:pt idx="8">
                  <c:v>4700</c:v>
                </c:pt>
                <c:pt idx="9">
                  <c:v>4548</c:v>
                </c:pt>
                <c:pt idx="10">
                  <c:v>4457</c:v>
                </c:pt>
                <c:pt idx="11">
                  <c:v>4347</c:v>
                </c:pt>
                <c:pt idx="12">
                  <c:v>4140</c:v>
                </c:pt>
                <c:pt idx="13">
                  <c:v>4155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053888"/>
        <c:axId val="138055680"/>
      </c:lineChart>
      <c:catAx>
        <c:axId val="13805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138055680"/>
        <c:crosses val="autoZero"/>
        <c:auto val="1"/>
        <c:lblAlgn val="ctr"/>
        <c:lblOffset val="100"/>
        <c:noMultiLvlLbl val="0"/>
      </c:catAx>
      <c:valAx>
        <c:axId val="138055680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13805388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17577105687"/>
          <c:y val="0.23211969516047826"/>
          <c:w val="0.27032967032967908"/>
          <c:h val="0.52525252525251742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l-G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l-G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 sz="1200"/>
            </a:pPr>
            <a:r>
              <a:rPr lang="el-GR" sz="1200"/>
              <a:t>κατά οικονομική δραστηριότητα τους τελευταίους 12 μήνες </a:t>
            </a:r>
          </a:p>
        </c:rich>
      </c:tx>
      <c:layout>
        <c:manualLayout>
          <c:xMode val="edge"/>
          <c:yMode val="edge"/>
          <c:x val="0.1480770621216404"/>
          <c:y val="3.32326774226384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1815061578842"/>
          <c:y val="0.23867132922584067"/>
          <c:w val="0.59423137492428757"/>
          <c:h val="0.36253808153134937"/>
        </c:manualLayout>
      </c:layout>
      <c:lineChart>
        <c:grouping val="standard"/>
        <c:varyColors val="0"/>
        <c:ser>
          <c:idx val="2"/>
          <c:order val="0"/>
          <c:tx>
            <c:strRef>
              <c:f>'οικονομική '!$C$9</c:f>
              <c:strCache>
                <c:ptCount val="1"/>
                <c:pt idx="0">
                  <c:v>ΕΜΠΟΡΙΟ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'οικονομική '!$AI$1:$AV$2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'οικονομική '!$AI$9:$AV$9</c:f>
              <c:numCache>
                <c:formatCode>General</c:formatCode>
                <c:ptCount val="14"/>
                <c:pt idx="0">
                  <c:v>7907</c:v>
                </c:pt>
                <c:pt idx="1">
                  <c:v>7746</c:v>
                </c:pt>
                <c:pt idx="2">
                  <c:v>8075</c:v>
                </c:pt>
                <c:pt idx="3">
                  <c:v>7801</c:v>
                </c:pt>
                <c:pt idx="4">
                  <c:v>8213</c:v>
                </c:pt>
                <c:pt idx="5">
                  <c:v>8342</c:v>
                </c:pt>
                <c:pt idx="6">
                  <c:v>8111</c:v>
                </c:pt>
                <c:pt idx="7">
                  <c:v>7679</c:v>
                </c:pt>
                <c:pt idx="8">
                  <c:v>7447</c:v>
                </c:pt>
                <c:pt idx="9">
                  <c:v>7284</c:v>
                </c:pt>
                <c:pt idx="10">
                  <c:v>7230</c:v>
                </c:pt>
                <c:pt idx="11">
                  <c:v>7061</c:v>
                </c:pt>
                <c:pt idx="12">
                  <c:v>7089</c:v>
                </c:pt>
                <c:pt idx="13">
                  <c:v>7066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'οικονομική '!$C$11</c:f>
              <c:strCache>
                <c:ptCount val="1"/>
                <c:pt idx="0">
                  <c:v>ΞΕΝΟΔΟΧΕΙΑ</c:v>
                </c:pt>
              </c:strCache>
            </c:strRef>
          </c:tx>
          <c:spPr>
            <a:ln cap="sq">
              <a:prstDash val="sysDot"/>
            </a:ln>
          </c:spPr>
          <c:marker>
            <c:symbol val="none"/>
          </c:marker>
          <c:cat>
            <c:multiLvlStrRef>
              <c:f>'οικονομική '!$AI$1:$AV$2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'οικονομική '!$AI$11:$AV$11</c:f>
              <c:numCache>
                <c:formatCode>General</c:formatCode>
                <c:ptCount val="14"/>
                <c:pt idx="0">
                  <c:v>3915</c:v>
                </c:pt>
                <c:pt idx="1">
                  <c:v>4391</c:v>
                </c:pt>
                <c:pt idx="2">
                  <c:v>9520</c:v>
                </c:pt>
                <c:pt idx="3">
                  <c:v>10305</c:v>
                </c:pt>
                <c:pt idx="4">
                  <c:v>10771</c:v>
                </c:pt>
                <c:pt idx="5">
                  <c:v>10743</c:v>
                </c:pt>
                <c:pt idx="6">
                  <c:v>9513</c:v>
                </c:pt>
                <c:pt idx="7">
                  <c:v>6566</c:v>
                </c:pt>
                <c:pt idx="8">
                  <c:v>4650</c:v>
                </c:pt>
                <c:pt idx="9">
                  <c:v>4183</c:v>
                </c:pt>
                <c:pt idx="10">
                  <c:v>4011</c:v>
                </c:pt>
                <c:pt idx="11">
                  <c:v>3840</c:v>
                </c:pt>
                <c:pt idx="12">
                  <c:v>3880</c:v>
                </c:pt>
                <c:pt idx="13">
                  <c:v>4220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'οικονομική '!$C$15</c:f>
              <c:strCache>
                <c:ptCount val="1"/>
                <c:pt idx="0">
                  <c:v>ΔΗΜΟΣΙΑ ΔΙΟΙΚ</c:v>
                </c:pt>
              </c:strCache>
            </c:strRef>
          </c:tx>
          <c:spPr>
            <a:ln cap="sq">
              <a:prstDash val="lgDashDotDot"/>
            </a:ln>
          </c:spPr>
          <c:marker>
            <c:symbol val="none"/>
          </c:marker>
          <c:cat>
            <c:multiLvlStrRef>
              <c:f>'οικονομική '!$AI$1:$AV$2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'οικονομική '!$AI$15:$AV$15</c:f>
              <c:numCache>
                <c:formatCode>General</c:formatCode>
                <c:ptCount val="14"/>
                <c:pt idx="0">
                  <c:v>3883</c:v>
                </c:pt>
                <c:pt idx="1">
                  <c:v>3685</c:v>
                </c:pt>
                <c:pt idx="2">
                  <c:v>4580</c:v>
                </c:pt>
                <c:pt idx="3">
                  <c:v>5338</c:v>
                </c:pt>
                <c:pt idx="4">
                  <c:v>5870</c:v>
                </c:pt>
                <c:pt idx="5">
                  <c:v>5885</c:v>
                </c:pt>
                <c:pt idx="6">
                  <c:v>5432</c:v>
                </c:pt>
                <c:pt idx="7">
                  <c:v>4780</c:v>
                </c:pt>
                <c:pt idx="8">
                  <c:v>4395</c:v>
                </c:pt>
                <c:pt idx="9">
                  <c:v>4807</c:v>
                </c:pt>
                <c:pt idx="10">
                  <c:v>4990</c:v>
                </c:pt>
                <c:pt idx="11">
                  <c:v>4809</c:v>
                </c:pt>
                <c:pt idx="12">
                  <c:v>3925</c:v>
                </c:pt>
                <c:pt idx="13">
                  <c:v>3307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584448"/>
        <c:axId val="138585984"/>
      </c:lineChart>
      <c:catAx>
        <c:axId val="13858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138585984"/>
        <c:crosses val="autoZero"/>
        <c:auto val="1"/>
        <c:lblAlgn val="ctr"/>
        <c:lblOffset val="100"/>
        <c:noMultiLvlLbl val="0"/>
      </c:catAx>
      <c:valAx>
        <c:axId val="13858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138584448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251640986054356"/>
          <c:y val="0.25792999326411747"/>
          <c:w val="0.25192331347967761"/>
          <c:h val="0.36253829915605795"/>
        </c:manualLayout>
      </c:layout>
      <c:overlay val="0"/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4324324324324534"/>
          <c:y val="3.691275167785235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'!$V$1:$AI$2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'ηλικία '!$V$3:$AI$3</c:f>
              <c:numCache>
                <c:formatCode>#,##0</c:formatCode>
                <c:ptCount val="14"/>
                <c:pt idx="0">
                  <c:v>4466</c:v>
                </c:pt>
                <c:pt idx="1">
                  <c:v>4230</c:v>
                </c:pt>
                <c:pt idx="2">
                  <c:v>4734</c:v>
                </c:pt>
                <c:pt idx="3">
                  <c:v>4423</c:v>
                </c:pt>
                <c:pt idx="4">
                  <c:v>4713</c:v>
                </c:pt>
                <c:pt idx="5">
                  <c:v>4647</c:v>
                </c:pt>
                <c:pt idx="6">
                  <c:v>4316</c:v>
                </c:pt>
                <c:pt idx="7">
                  <c:v>3668</c:v>
                </c:pt>
                <c:pt idx="8">
                  <c:v>3425</c:v>
                </c:pt>
                <c:pt idx="9">
                  <c:v>3581</c:v>
                </c:pt>
                <c:pt idx="10">
                  <c:v>4123</c:v>
                </c:pt>
                <c:pt idx="11">
                  <c:v>3906</c:v>
                </c:pt>
                <c:pt idx="12">
                  <c:v>3784</c:v>
                </c:pt>
                <c:pt idx="13">
                  <c:v>3567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'!$V$1:$AI$2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'ηλικία '!$V$4:$AI$4</c:f>
              <c:numCache>
                <c:formatCode>General</c:formatCode>
                <c:ptCount val="14"/>
                <c:pt idx="0">
                  <c:v>7107</c:v>
                </c:pt>
                <c:pt idx="1">
                  <c:v>6523</c:v>
                </c:pt>
                <c:pt idx="2">
                  <c:v>7427</c:v>
                </c:pt>
                <c:pt idx="3">
                  <c:v>7367</c:v>
                </c:pt>
                <c:pt idx="4">
                  <c:v>7641</c:v>
                </c:pt>
                <c:pt idx="5">
                  <c:v>7723</c:v>
                </c:pt>
                <c:pt idx="6">
                  <c:v>7241</c:v>
                </c:pt>
                <c:pt idx="7">
                  <c:v>6299</c:v>
                </c:pt>
                <c:pt idx="8">
                  <c:v>6055</c:v>
                </c:pt>
                <c:pt idx="9">
                  <c:v>6531</c:v>
                </c:pt>
                <c:pt idx="10">
                  <c:v>6822</c:v>
                </c:pt>
                <c:pt idx="11" formatCode="#,##0">
                  <c:v>6528</c:v>
                </c:pt>
                <c:pt idx="12" formatCode="#,##0">
                  <c:v>6005</c:v>
                </c:pt>
                <c:pt idx="13" formatCode="#,##0">
                  <c:v>5584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'!$V$1:$AI$2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'ηλικία '!$V$5:$AI$5</c:f>
              <c:numCache>
                <c:formatCode>General</c:formatCode>
                <c:ptCount val="14"/>
                <c:pt idx="0">
                  <c:v>9891</c:v>
                </c:pt>
                <c:pt idx="1">
                  <c:v>9372</c:v>
                </c:pt>
                <c:pt idx="2">
                  <c:v>11125</c:v>
                </c:pt>
                <c:pt idx="3">
                  <c:v>11336</c:v>
                </c:pt>
                <c:pt idx="4">
                  <c:v>11921</c:v>
                </c:pt>
                <c:pt idx="5">
                  <c:v>12028</c:v>
                </c:pt>
                <c:pt idx="6">
                  <c:v>11529</c:v>
                </c:pt>
                <c:pt idx="7">
                  <c:v>10133</c:v>
                </c:pt>
                <c:pt idx="8">
                  <c:v>9434</c:v>
                </c:pt>
                <c:pt idx="9">
                  <c:v>10140</c:v>
                </c:pt>
                <c:pt idx="10">
                  <c:v>10493</c:v>
                </c:pt>
                <c:pt idx="11" formatCode="#,##0">
                  <c:v>10377</c:v>
                </c:pt>
                <c:pt idx="12" formatCode="#,##0">
                  <c:v>9418</c:v>
                </c:pt>
                <c:pt idx="13" formatCode="#,##0">
                  <c:v>8898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'!$V$1:$AI$2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'ηλικία '!$V$6:$AI$6</c:f>
              <c:numCache>
                <c:formatCode>General</c:formatCode>
                <c:ptCount val="14"/>
                <c:pt idx="0">
                  <c:v>7746</c:v>
                </c:pt>
                <c:pt idx="1">
                  <c:v>7642</c:v>
                </c:pt>
                <c:pt idx="2">
                  <c:v>9179</c:v>
                </c:pt>
                <c:pt idx="3">
                  <c:v>9350</c:v>
                </c:pt>
                <c:pt idx="4">
                  <c:v>9772</c:v>
                </c:pt>
                <c:pt idx="5">
                  <c:v>9747</c:v>
                </c:pt>
                <c:pt idx="6">
                  <c:v>9296</c:v>
                </c:pt>
                <c:pt idx="7">
                  <c:v>8138</c:v>
                </c:pt>
                <c:pt idx="8">
                  <c:v>7357</c:v>
                </c:pt>
                <c:pt idx="9">
                  <c:v>7335</c:v>
                </c:pt>
                <c:pt idx="10">
                  <c:v>7456</c:v>
                </c:pt>
                <c:pt idx="11" formatCode="#,##0">
                  <c:v>7267</c:v>
                </c:pt>
                <c:pt idx="12" formatCode="#,##0">
                  <c:v>6831</c:v>
                </c:pt>
                <c:pt idx="13" formatCode="#,##0">
                  <c:v>6791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'!$V$1:$AI$2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'ηλικία '!$V$7:$AI$7</c:f>
              <c:numCache>
                <c:formatCode>#,##0</c:formatCode>
                <c:ptCount val="14"/>
                <c:pt idx="0">
                  <c:v>9955</c:v>
                </c:pt>
                <c:pt idx="1">
                  <c:v>9813</c:v>
                </c:pt>
                <c:pt idx="2">
                  <c:v>11073</c:v>
                </c:pt>
                <c:pt idx="3">
                  <c:v>11316</c:v>
                </c:pt>
                <c:pt idx="4">
                  <c:v>11773</c:v>
                </c:pt>
                <c:pt idx="5">
                  <c:v>11804</c:v>
                </c:pt>
                <c:pt idx="6">
                  <c:v>11293</c:v>
                </c:pt>
                <c:pt idx="7">
                  <c:v>10313</c:v>
                </c:pt>
                <c:pt idx="8">
                  <c:v>9524</c:v>
                </c:pt>
                <c:pt idx="9">
                  <c:v>9421</c:v>
                </c:pt>
                <c:pt idx="10">
                  <c:v>9414</c:v>
                </c:pt>
                <c:pt idx="11">
                  <c:v>9134</c:v>
                </c:pt>
                <c:pt idx="12">
                  <c:v>8619</c:v>
                </c:pt>
                <c:pt idx="13">
                  <c:v>8504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'!$V$1:$AI$2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'ηλικία '!$V$8:$AI$8</c:f>
              <c:numCache>
                <c:formatCode>General</c:formatCode>
                <c:ptCount val="14"/>
                <c:pt idx="0">
                  <c:v>3698</c:v>
                </c:pt>
                <c:pt idx="1">
                  <c:v>3592</c:v>
                </c:pt>
                <c:pt idx="2">
                  <c:v>3884</c:v>
                </c:pt>
                <c:pt idx="3">
                  <c:v>3913</c:v>
                </c:pt>
                <c:pt idx="4">
                  <c:v>4031</c:v>
                </c:pt>
                <c:pt idx="5">
                  <c:v>4100</c:v>
                </c:pt>
                <c:pt idx="6">
                  <c:v>3981</c:v>
                </c:pt>
                <c:pt idx="7">
                  <c:v>3836</c:v>
                </c:pt>
                <c:pt idx="8">
                  <c:v>3706</c:v>
                </c:pt>
                <c:pt idx="9">
                  <c:v>3692</c:v>
                </c:pt>
                <c:pt idx="10">
                  <c:v>3675</c:v>
                </c:pt>
                <c:pt idx="11" formatCode="#,##0">
                  <c:v>3596</c:v>
                </c:pt>
                <c:pt idx="12" formatCode="#,##0">
                  <c:v>3529</c:v>
                </c:pt>
                <c:pt idx="13" formatCode="#,##0">
                  <c:v>3479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779648"/>
        <c:axId val="143663872"/>
      </c:lineChart>
      <c:catAx>
        <c:axId val="13877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143663872"/>
        <c:crosses val="autoZero"/>
        <c:auto val="1"/>
        <c:lblAlgn val="ctr"/>
        <c:lblOffset val="100"/>
        <c:noMultiLvlLbl val="0"/>
      </c:catAx>
      <c:valAx>
        <c:axId val="14366387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138779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06921929305"/>
          <c:y val="0.18831579290562547"/>
          <c:w val="0.1426893883586797"/>
          <c:h val="0.45953178671458011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l-G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l-GR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23474178403"/>
          <c:y val="3.584229390681005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42"/>
          <c:w val="0.65944704164689982"/>
          <c:h val="0.38490536115010426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'!$A$8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'!$V$1:$AI$2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'διάρκεια '!$V$8:$AI$8</c:f>
              <c:numCache>
                <c:formatCode>General</c:formatCode>
                <c:ptCount val="14"/>
                <c:pt idx="0">
                  <c:v>20005</c:v>
                </c:pt>
                <c:pt idx="1">
                  <c:v>19362</c:v>
                </c:pt>
                <c:pt idx="2">
                  <c:v>19637</c:v>
                </c:pt>
                <c:pt idx="3">
                  <c:v>19645</c:v>
                </c:pt>
                <c:pt idx="4">
                  <c:v>20138</c:v>
                </c:pt>
                <c:pt idx="5">
                  <c:v>20348</c:v>
                </c:pt>
                <c:pt idx="6">
                  <c:v>20610</c:v>
                </c:pt>
                <c:pt idx="7">
                  <c:v>20377</c:v>
                </c:pt>
                <c:pt idx="8">
                  <c:v>20876</c:v>
                </c:pt>
                <c:pt idx="9">
                  <c:v>19601</c:v>
                </c:pt>
                <c:pt idx="10">
                  <c:v>19433</c:v>
                </c:pt>
                <c:pt idx="11">
                  <c:v>19333</c:v>
                </c:pt>
                <c:pt idx="12">
                  <c:v>18784</c:v>
                </c:pt>
                <c:pt idx="13">
                  <c:v>18528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'διάρκεια '!$A$7</c:f>
              <c:strCache>
                <c:ptCount val="1"/>
                <c:pt idx="0">
                  <c:v>12 ΜΗΝΕΣ ΚΑΙ ΠΑΝΩ</c:v>
                </c:pt>
              </c:strCache>
            </c:strRef>
          </c:tx>
          <c:cat>
            <c:multiLvlStrRef>
              <c:f>'διάρκεια '!$V$1:$AI$2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'διάρκεια '!$V$7:$AI$7</c:f>
              <c:numCache>
                <c:formatCode>General</c:formatCode>
                <c:ptCount val="14"/>
                <c:pt idx="0">
                  <c:v>12080</c:v>
                </c:pt>
                <c:pt idx="1">
                  <c:v>11999</c:v>
                </c:pt>
                <c:pt idx="2">
                  <c:v>12071</c:v>
                </c:pt>
                <c:pt idx="3">
                  <c:v>11861</c:v>
                </c:pt>
                <c:pt idx="4">
                  <c:v>12257</c:v>
                </c:pt>
                <c:pt idx="5">
                  <c:v>12404</c:v>
                </c:pt>
                <c:pt idx="6">
                  <c:v>12446</c:v>
                </c:pt>
                <c:pt idx="7">
                  <c:v>12280</c:v>
                </c:pt>
                <c:pt idx="8">
                  <c:v>12412</c:v>
                </c:pt>
                <c:pt idx="9">
                  <c:v>12346</c:v>
                </c:pt>
                <c:pt idx="10">
                  <c:v>12368</c:v>
                </c:pt>
                <c:pt idx="11">
                  <c:v>12388</c:v>
                </c:pt>
                <c:pt idx="12">
                  <c:v>12143</c:v>
                </c:pt>
                <c:pt idx="13">
                  <c:v>12141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094336"/>
        <c:axId val="142095872"/>
      </c:lineChart>
      <c:catAx>
        <c:axId val="14209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142095872"/>
        <c:crosses val="autoZero"/>
        <c:auto val="1"/>
        <c:lblAlgn val="ctr"/>
        <c:lblOffset val="100"/>
        <c:noMultiLvlLbl val="0"/>
      </c:catAx>
      <c:valAx>
        <c:axId val="142095872"/>
        <c:scaling>
          <c:orientation val="minMax"/>
          <c:min val="8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142094336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7127637346720668"/>
          <c:y val="0.19089146775118698"/>
          <c:w val="0.22535211267605632"/>
          <c:h val="0.44444444444444442"/>
        </c:manualLayout>
      </c:layout>
      <c:overlay val="0"/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48255125693"/>
          <c:y val="3.25258479247872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76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μόρφωση!$V$1:$AI$2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μόρφωση!$V$8:$AI$8</c:f>
              <c:numCache>
                <c:formatCode>#,##0</c:formatCode>
                <c:ptCount val="14"/>
                <c:pt idx="0">
                  <c:v>20545</c:v>
                </c:pt>
                <c:pt idx="1">
                  <c:v>20409</c:v>
                </c:pt>
                <c:pt idx="2">
                  <c:v>24185</c:v>
                </c:pt>
                <c:pt idx="3">
                  <c:v>24393</c:v>
                </c:pt>
                <c:pt idx="4">
                  <c:v>25722</c:v>
                </c:pt>
                <c:pt idx="5">
                  <c:v>25914</c:v>
                </c:pt>
                <c:pt idx="6">
                  <c:v>24657</c:v>
                </c:pt>
                <c:pt idx="7">
                  <c:v>21655</c:v>
                </c:pt>
                <c:pt idx="8">
                  <c:v>19785</c:v>
                </c:pt>
                <c:pt idx="9">
                  <c:v>19456</c:v>
                </c:pt>
                <c:pt idx="10">
                  <c:v>19705</c:v>
                </c:pt>
                <c:pt idx="11">
                  <c:v>19221</c:v>
                </c:pt>
                <c:pt idx="12">
                  <c:v>18441</c:v>
                </c:pt>
                <c:pt idx="13">
                  <c:v>18215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μόρφωση!$V$1:$AI$2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μόρφωση!$V$9:$AI$9</c:f>
              <c:numCache>
                <c:formatCode>#,##0</c:formatCode>
                <c:ptCount val="14"/>
                <c:pt idx="0">
                  <c:v>13885</c:v>
                </c:pt>
                <c:pt idx="1">
                  <c:v>12180</c:v>
                </c:pt>
                <c:pt idx="2">
                  <c:v>12315</c:v>
                </c:pt>
                <c:pt idx="3">
                  <c:v>12067</c:v>
                </c:pt>
                <c:pt idx="4">
                  <c:v>12409</c:v>
                </c:pt>
                <c:pt idx="5" formatCode="General">
                  <c:v>12398</c:v>
                </c:pt>
                <c:pt idx="6" formatCode="General">
                  <c:v>12105</c:v>
                </c:pt>
                <c:pt idx="7" formatCode="General">
                  <c:v>11447</c:v>
                </c:pt>
                <c:pt idx="8" formatCode="General">
                  <c:v>11495</c:v>
                </c:pt>
                <c:pt idx="9" formatCode="General">
                  <c:v>13421</c:v>
                </c:pt>
                <c:pt idx="10" formatCode="General">
                  <c:v>14668</c:v>
                </c:pt>
                <c:pt idx="11" formatCode="General">
                  <c:v>14227</c:v>
                </c:pt>
                <c:pt idx="12" formatCode="General">
                  <c:v>12440</c:v>
                </c:pt>
                <c:pt idx="13" formatCode="General">
                  <c:v>11192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μόρφωση!$V$1:$AI$2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μόρφωση!$V$5:$AI$5</c:f>
              <c:numCache>
                <c:formatCode>#,##0</c:formatCode>
                <c:ptCount val="14"/>
                <c:pt idx="0">
                  <c:v>8587</c:v>
                </c:pt>
                <c:pt idx="1">
                  <c:v>8745</c:v>
                </c:pt>
                <c:pt idx="2">
                  <c:v>11103</c:v>
                </c:pt>
                <c:pt idx="3">
                  <c:v>11426</c:v>
                </c:pt>
                <c:pt idx="4">
                  <c:v>11908</c:v>
                </c:pt>
                <c:pt idx="5">
                  <c:v>11928</c:v>
                </c:pt>
                <c:pt idx="6">
                  <c:v>11071</c:v>
                </c:pt>
                <c:pt idx="7">
                  <c:v>9449</c:v>
                </c:pt>
                <c:pt idx="8">
                  <c:v>8392</c:v>
                </c:pt>
                <c:pt idx="9">
                  <c:v>7999</c:v>
                </c:pt>
                <c:pt idx="10">
                  <c:v>7803</c:v>
                </c:pt>
                <c:pt idx="11">
                  <c:v>7540</c:v>
                </c:pt>
                <c:pt idx="12">
                  <c:v>7484</c:v>
                </c:pt>
                <c:pt idx="13">
                  <c:v>7609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303232"/>
        <c:axId val="142304768"/>
      </c:lineChart>
      <c:catAx>
        <c:axId val="14230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142304768"/>
        <c:crosses val="autoZero"/>
        <c:auto val="1"/>
        <c:lblAlgn val="ctr"/>
        <c:lblOffset val="100"/>
        <c:noMultiLvlLbl val="0"/>
      </c:catAx>
      <c:valAx>
        <c:axId val="14230476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142303232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62729032674"/>
          <c:y val="0.21780104910888681"/>
          <c:w val="0.24643224113512555"/>
          <c:h val="0.39561740028398457"/>
        </c:manualLayout>
      </c:layout>
      <c:overlay val="0"/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19969845086"/>
          <c:y val="3.745332050752242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274E-2"/>
          <c:y val="0.24094960040107638"/>
          <c:w val="0.58061855670103057"/>
          <c:h val="0.3171048001022389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ΑΤΟΜΑ ΑΠΟ ΕΕ</c:v>
                </c:pt>
              </c:strCache>
            </c:strRef>
          </c:tx>
          <c:marker>
            <c:symbol val="none"/>
          </c:marker>
          <c:cat>
            <c:multiLvlStrRef>
              <c:f>'υπηκοότητα '!$AH$1:$AU$2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'υπηκοότητα '!$AH$4:$AU$4</c:f>
              <c:numCache>
                <c:formatCode>General</c:formatCode>
                <c:ptCount val="14"/>
                <c:pt idx="0">
                  <c:v>4278</c:v>
                </c:pt>
                <c:pt idx="1">
                  <c:v>4458</c:v>
                </c:pt>
                <c:pt idx="2">
                  <c:v>6904</c:v>
                </c:pt>
                <c:pt idx="3">
                  <c:v>7140</c:v>
                </c:pt>
                <c:pt idx="4">
                  <c:v>7601</c:v>
                </c:pt>
                <c:pt idx="5">
                  <c:v>7742</c:v>
                </c:pt>
                <c:pt idx="6">
                  <c:v>7025</c:v>
                </c:pt>
                <c:pt idx="7">
                  <c:v>5395</c:v>
                </c:pt>
                <c:pt idx="8">
                  <c:v>4392</c:v>
                </c:pt>
                <c:pt idx="9">
                  <c:v>4137</c:v>
                </c:pt>
                <c:pt idx="10">
                  <c:v>3963</c:v>
                </c:pt>
                <c:pt idx="11">
                  <c:v>3786</c:v>
                </c:pt>
                <c:pt idx="12">
                  <c:v>3796</c:v>
                </c:pt>
                <c:pt idx="13">
                  <c:v>3957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'υπηκοότητα '!$A$5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'!$AH$1:$AU$2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'υπηκοότητα '!$AH$5:$AU$5</c:f>
              <c:numCache>
                <c:formatCode>General</c:formatCode>
                <c:ptCount val="14"/>
                <c:pt idx="0">
                  <c:v>1540</c:v>
                </c:pt>
                <c:pt idx="1">
                  <c:v>1564</c:v>
                </c:pt>
                <c:pt idx="2">
                  <c:v>1889</c:v>
                </c:pt>
                <c:pt idx="3">
                  <c:v>1908</c:v>
                </c:pt>
                <c:pt idx="4">
                  <c:v>2020</c:v>
                </c:pt>
                <c:pt idx="5">
                  <c:v>2005</c:v>
                </c:pt>
                <c:pt idx="6">
                  <c:v>1889</c:v>
                </c:pt>
                <c:pt idx="7">
                  <c:v>1682</c:v>
                </c:pt>
                <c:pt idx="8">
                  <c:v>1525</c:v>
                </c:pt>
                <c:pt idx="9">
                  <c:v>1431</c:v>
                </c:pt>
                <c:pt idx="10">
                  <c:v>1359</c:v>
                </c:pt>
                <c:pt idx="11">
                  <c:v>1302</c:v>
                </c:pt>
                <c:pt idx="12">
                  <c:v>1353</c:v>
                </c:pt>
                <c:pt idx="13">
                  <c:v>1372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'υπηκοότητα '!$A$8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multiLvlStrRef>
              <c:f>'υπηκοότητα '!$AH$1:$AU$2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'υπηκοότητα '!$AH$8:$AU$8</c:f>
              <c:numCache>
                <c:formatCode>General</c:formatCode>
                <c:ptCount val="14"/>
                <c:pt idx="0">
                  <c:v>201</c:v>
                </c:pt>
                <c:pt idx="1">
                  <c:v>232</c:v>
                </c:pt>
                <c:pt idx="2">
                  <c:v>246</c:v>
                </c:pt>
                <c:pt idx="3">
                  <c:v>263</c:v>
                </c:pt>
                <c:pt idx="4">
                  <c:v>316</c:v>
                </c:pt>
                <c:pt idx="5">
                  <c:v>333</c:v>
                </c:pt>
                <c:pt idx="6">
                  <c:v>340</c:v>
                </c:pt>
                <c:pt idx="7">
                  <c:v>355</c:v>
                </c:pt>
                <c:pt idx="8">
                  <c:v>396</c:v>
                </c:pt>
                <c:pt idx="9">
                  <c:v>419</c:v>
                </c:pt>
                <c:pt idx="10">
                  <c:v>458</c:v>
                </c:pt>
                <c:pt idx="11">
                  <c:v>502</c:v>
                </c:pt>
                <c:pt idx="12">
                  <c:v>565</c:v>
                </c:pt>
                <c:pt idx="13">
                  <c:v>607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'!$AH$1:$AU$2</c:f>
              <c:multiLvlStrCache>
                <c:ptCount val="14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'υπηκοότητα '!$AH$3:$AU$3</c:f>
              <c:numCache>
                <c:formatCode>General</c:formatCode>
                <c:ptCount val="14"/>
                <c:pt idx="0">
                  <c:v>35254</c:v>
                </c:pt>
                <c:pt idx="1">
                  <c:v>33336</c:v>
                </c:pt>
                <c:pt idx="2">
                  <c:v>36432</c:v>
                </c:pt>
                <c:pt idx="3">
                  <c:v>36436</c:v>
                </c:pt>
                <c:pt idx="4">
                  <c:v>37902</c:v>
                </c:pt>
                <c:pt idx="5">
                  <c:v>37926</c:v>
                </c:pt>
                <c:pt idx="6">
                  <c:v>36410</c:v>
                </c:pt>
                <c:pt idx="7">
                  <c:v>33177</c:v>
                </c:pt>
                <c:pt idx="8">
                  <c:v>31543</c:v>
                </c:pt>
                <c:pt idx="9">
                  <c:v>33099</c:v>
                </c:pt>
                <c:pt idx="10">
                  <c:v>34676</c:v>
                </c:pt>
                <c:pt idx="11">
                  <c:v>33719</c:v>
                </c:pt>
                <c:pt idx="12">
                  <c:v>30960</c:v>
                </c:pt>
                <c:pt idx="13">
                  <c:v>29368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677568"/>
        <c:axId val="147679104"/>
      </c:lineChart>
      <c:catAx>
        <c:axId val="14767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147679104"/>
        <c:crosses val="autoZero"/>
        <c:auto val="1"/>
        <c:lblAlgn val="ctr"/>
        <c:lblOffset val="100"/>
        <c:noMultiLvlLbl val="0"/>
      </c:catAx>
      <c:valAx>
        <c:axId val="147679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14767756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39480381973"/>
          <c:y val="0.23595591919738917"/>
          <c:w val="0.27419781603474608"/>
          <c:h val="0.55862642169728782"/>
        </c:manualLayout>
      </c:layout>
      <c:overlay val="0"/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9303-B698-4468-B605-97605C31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1500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Yolanda</dc:creator>
  <cp:lastModifiedBy>Administrator</cp:lastModifiedBy>
  <cp:revision>47</cp:revision>
  <cp:lastPrinted>2015-11-25T11:05:00Z</cp:lastPrinted>
  <dcterms:created xsi:type="dcterms:W3CDTF">2015-09-14T08:10:00Z</dcterms:created>
  <dcterms:modified xsi:type="dcterms:W3CDTF">2015-11-25T11:13:00Z</dcterms:modified>
</cp:coreProperties>
</file>